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EED10">
      <w:pPr>
        <w:spacing w:line="360" w:lineRule="auto"/>
        <w:jc w:val="center"/>
        <w:rPr>
          <w:rFonts w:ascii="黑体" w:hAnsi="黑体" w:eastAsia="黑体"/>
          <w:color w:val="auto"/>
          <w:sz w:val="32"/>
          <w:szCs w:val="32"/>
        </w:rPr>
      </w:pPr>
      <w:r>
        <w:rPr>
          <w:rFonts w:hint="eastAsia" w:ascii="黑体" w:hAnsi="黑体" w:eastAsia="黑体"/>
          <w:color w:val="auto"/>
          <w:sz w:val="32"/>
          <w:szCs w:val="32"/>
        </w:rPr>
        <w:t>教育科学学院、教师教育学院</w:t>
      </w:r>
    </w:p>
    <w:p w14:paraId="6D6A217E">
      <w:pPr>
        <w:spacing w:line="360" w:lineRule="auto"/>
        <w:jc w:val="center"/>
        <w:rPr>
          <w:rFonts w:ascii="黑体" w:hAnsi="黑体" w:eastAsia="黑体"/>
          <w:color w:val="auto"/>
          <w:sz w:val="32"/>
          <w:szCs w:val="32"/>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5级</w:t>
      </w:r>
      <w:r>
        <w:rPr>
          <w:rFonts w:hint="eastAsia" w:ascii="黑体" w:hAnsi="黑体" w:eastAsia="黑体"/>
          <w:color w:val="auto"/>
          <w:sz w:val="32"/>
          <w:szCs w:val="32"/>
        </w:rPr>
        <w:t>研究生奖学金评审细则</w:t>
      </w:r>
    </w:p>
    <w:p w14:paraId="6D795201">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第一章 总则</w:t>
      </w:r>
    </w:p>
    <w:p w14:paraId="2E3C3BBD">
      <w:pPr>
        <w:spacing w:line="360" w:lineRule="auto"/>
        <w:ind w:firstLine="562" w:firstLineChars="200"/>
        <w:rPr>
          <w:rFonts w:ascii="宋体" w:hAnsi="宋体" w:cs="宋体"/>
          <w:color w:val="auto"/>
          <w:kern w:val="0"/>
          <w:sz w:val="24"/>
        </w:rPr>
      </w:pPr>
      <w:r>
        <w:rPr>
          <w:rFonts w:hint="eastAsia" w:ascii="宋体" w:hAnsi="宋体" w:cs="宋体"/>
          <w:b/>
          <w:color w:val="auto"/>
          <w:kern w:val="0"/>
          <w:sz w:val="28"/>
          <w:szCs w:val="28"/>
        </w:rPr>
        <w:t>第一条</w:t>
      </w:r>
      <w:r>
        <w:rPr>
          <w:rFonts w:hint="eastAsia" w:ascii="宋体" w:hAnsi="宋体" w:cs="宋体"/>
          <w:color w:val="auto"/>
          <w:kern w:val="0"/>
          <w:sz w:val="24"/>
        </w:rPr>
        <w:t xml:space="preserve">  为进一步加快学校研究生教育事业发展，提高研究生培养质量，激励研究生勤奋学习、潜心科研、勇于创新、积极进取，根据《西北师范大学研究生奖学金评定办法（修订）》（西师发〔202</w:t>
      </w:r>
      <w:r>
        <w:rPr>
          <w:rFonts w:hint="eastAsia" w:ascii="宋体" w:hAnsi="宋体" w:cs="宋体"/>
          <w:color w:val="auto"/>
          <w:kern w:val="0"/>
          <w:sz w:val="24"/>
          <w:lang w:val="en-US" w:eastAsia="zh-CN"/>
        </w:rPr>
        <w:t>5</w:t>
      </w:r>
      <w:r>
        <w:rPr>
          <w:rFonts w:hint="eastAsia" w:ascii="宋体" w:hAnsi="宋体" w:cs="宋体"/>
          <w:color w:val="auto"/>
          <w:kern w:val="0"/>
          <w:sz w:val="24"/>
        </w:rPr>
        <w:t>〕</w:t>
      </w:r>
      <w:r>
        <w:rPr>
          <w:rFonts w:hint="eastAsia" w:ascii="宋体" w:hAnsi="宋体" w:cs="宋体"/>
          <w:color w:val="auto"/>
          <w:kern w:val="0"/>
          <w:sz w:val="24"/>
          <w:lang w:val="en-US" w:eastAsia="zh-CN"/>
        </w:rPr>
        <w:t>62</w:t>
      </w:r>
      <w:r>
        <w:rPr>
          <w:rFonts w:hint="eastAsia" w:ascii="宋体" w:hAnsi="宋体" w:cs="宋体"/>
          <w:color w:val="auto"/>
          <w:kern w:val="0"/>
          <w:sz w:val="24"/>
        </w:rPr>
        <w:t>号）、《西北师范大学李秉德教育基金章程》</w:t>
      </w:r>
      <w:r>
        <w:rPr>
          <w:rFonts w:hint="eastAsia" w:ascii="宋体" w:hAnsi="宋体" w:cs="宋体"/>
          <w:color w:val="auto"/>
          <w:kern w:val="0"/>
          <w:sz w:val="24"/>
          <w:lang w:eastAsia="zh-CN"/>
        </w:rPr>
        <w:t>（</w:t>
      </w:r>
      <w:r>
        <w:rPr>
          <w:rFonts w:hint="eastAsia" w:ascii="宋体" w:hAnsi="宋体" w:cs="宋体"/>
          <w:color w:val="auto"/>
          <w:kern w:val="0"/>
          <w:sz w:val="24"/>
        </w:rPr>
        <w:t>2011年11月4日修订</w:t>
      </w:r>
      <w:r>
        <w:rPr>
          <w:rFonts w:hint="eastAsia" w:ascii="宋体" w:hAnsi="宋体" w:cs="宋体"/>
          <w:color w:val="auto"/>
          <w:kern w:val="0"/>
          <w:sz w:val="24"/>
          <w:lang w:eastAsia="zh-CN"/>
        </w:rPr>
        <w:t>）</w:t>
      </w:r>
      <w:r>
        <w:rPr>
          <w:rFonts w:hint="eastAsia" w:ascii="宋体" w:hAnsi="宋体" w:cs="宋体"/>
          <w:color w:val="auto"/>
          <w:kern w:val="0"/>
          <w:sz w:val="24"/>
        </w:rPr>
        <w:t>等文件精神，结合学院学科特点和实际</w:t>
      </w:r>
      <w:r>
        <w:rPr>
          <w:rFonts w:hint="eastAsia" w:ascii="宋体" w:hAnsi="宋体" w:cs="宋体"/>
          <w:color w:val="auto"/>
          <w:kern w:val="0"/>
          <w:sz w:val="24"/>
          <w:lang w:eastAsia="zh-CN"/>
        </w:rPr>
        <w:t>，</w:t>
      </w:r>
      <w:r>
        <w:rPr>
          <w:rFonts w:hint="eastAsia" w:ascii="宋体" w:hAnsi="宋体" w:cs="宋体"/>
          <w:color w:val="auto"/>
          <w:kern w:val="0"/>
          <w:sz w:val="24"/>
        </w:rPr>
        <w:t>制定此办法。</w:t>
      </w:r>
    </w:p>
    <w:p w14:paraId="77B8A270">
      <w:pPr>
        <w:spacing w:line="360" w:lineRule="auto"/>
        <w:ind w:firstLine="562" w:firstLineChars="200"/>
        <w:rPr>
          <w:rFonts w:ascii="宋体" w:hAnsi="宋体" w:cs="宋体"/>
          <w:color w:val="auto"/>
          <w:kern w:val="0"/>
          <w:sz w:val="24"/>
        </w:rPr>
      </w:pPr>
      <w:r>
        <w:rPr>
          <w:rFonts w:hint="eastAsia" w:ascii="宋体" w:hAnsi="宋体" w:cs="宋体"/>
          <w:b/>
          <w:color w:val="auto"/>
          <w:kern w:val="0"/>
          <w:sz w:val="28"/>
          <w:szCs w:val="28"/>
        </w:rPr>
        <w:t xml:space="preserve">第二条 </w:t>
      </w:r>
      <w:r>
        <w:rPr>
          <w:rFonts w:hint="eastAsia" w:ascii="宋体" w:hAnsi="宋体" w:cs="宋体"/>
          <w:color w:val="auto"/>
          <w:kern w:val="0"/>
          <w:sz w:val="24"/>
        </w:rPr>
        <w:t xml:space="preserve"> 研究生奖学金包括国家奖学金、学业奖学金、新生奖学金、木铎升学奖和其他奖学金。</w:t>
      </w:r>
    </w:p>
    <w:p w14:paraId="664CF439">
      <w:pPr>
        <w:spacing w:line="360" w:lineRule="auto"/>
        <w:ind w:firstLine="562" w:firstLineChars="200"/>
        <w:rPr>
          <w:rFonts w:hint="default" w:ascii="宋体" w:hAnsi="宋体" w:eastAsia="宋体" w:cs="宋体"/>
          <w:color w:val="auto"/>
          <w:kern w:val="0"/>
          <w:sz w:val="24"/>
          <w:lang w:val="en-US" w:eastAsia="zh-CN"/>
        </w:rPr>
      </w:pPr>
      <w:r>
        <w:rPr>
          <w:rFonts w:hint="eastAsia" w:ascii="宋体" w:hAnsi="宋体" w:cs="宋体"/>
          <w:b/>
          <w:color w:val="auto"/>
          <w:kern w:val="0"/>
          <w:sz w:val="28"/>
          <w:szCs w:val="28"/>
        </w:rPr>
        <w:t xml:space="preserve">第三条  </w:t>
      </w:r>
      <w:r>
        <w:rPr>
          <w:rFonts w:hint="eastAsia" w:ascii="宋体" w:hAnsi="宋体" w:cs="宋体"/>
          <w:color w:val="auto"/>
          <w:kern w:val="0"/>
          <w:sz w:val="24"/>
        </w:rPr>
        <w:t>研究生奖学金资金以财政拨款为主，统筹学校事业收入、社会捐助等资金，奖励支持表现优秀的研究生更好地完成学业 。</w:t>
      </w:r>
      <w:r>
        <w:rPr>
          <w:rFonts w:hint="eastAsia" w:ascii="宋体" w:hAnsi="宋体" w:cs="宋体"/>
          <w:color w:val="auto"/>
          <w:kern w:val="0"/>
          <w:sz w:val="24"/>
          <w:lang w:val="en-US" w:eastAsia="zh-CN"/>
        </w:rPr>
        <w:tab/>
      </w:r>
    </w:p>
    <w:p w14:paraId="69F977D4">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 xml:space="preserve">第二章 </w:t>
      </w:r>
      <w:r>
        <w:rPr>
          <w:rFonts w:hint="eastAsia" w:ascii="宋体" w:hAnsi="宋体" w:cs="宋体"/>
          <w:b/>
          <w:color w:val="auto"/>
          <w:kern w:val="0"/>
          <w:sz w:val="28"/>
          <w:szCs w:val="28"/>
          <w:lang w:val="en-US" w:eastAsia="zh-CN"/>
        </w:rPr>
        <w:t>评定</w:t>
      </w:r>
      <w:r>
        <w:rPr>
          <w:rFonts w:hint="eastAsia" w:ascii="宋体" w:hAnsi="宋体" w:cs="宋体"/>
          <w:b/>
          <w:color w:val="auto"/>
          <w:kern w:val="0"/>
          <w:sz w:val="28"/>
          <w:szCs w:val="28"/>
        </w:rPr>
        <w:t>对象</w:t>
      </w:r>
    </w:p>
    <w:p w14:paraId="4A319DD7">
      <w:pPr>
        <w:spacing w:line="360" w:lineRule="auto"/>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rPr>
        <w:t xml:space="preserve">第四条  </w:t>
      </w:r>
      <w:r>
        <w:rPr>
          <w:rFonts w:hint="eastAsia" w:ascii="宋体" w:hAnsi="宋体" w:cs="宋体"/>
          <w:color w:val="auto"/>
          <w:kern w:val="0"/>
          <w:sz w:val="24"/>
        </w:rPr>
        <w:t>参评对象</w:t>
      </w:r>
    </w:p>
    <w:p w14:paraId="35E8E4B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凡取得正式学籍、已注册正式在读的具有中华人民共和国国籍且纳入全国研究生招生计划的全日制（全脱产学习）研究生，在基本修业年限内均有资格申请（不含定向、委托培养的研究生），不包括留学生和有固定工资收入研究生。</w:t>
      </w:r>
    </w:p>
    <w:p w14:paraId="1E02D3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（二）农村教育硕士最后一年全脱产学习期间，有资格参评奖学金。</w:t>
      </w:r>
    </w:p>
    <w:p w14:paraId="2727B063">
      <w:pPr>
        <w:spacing w:line="360" w:lineRule="auto"/>
        <w:jc w:val="center"/>
        <w:rPr>
          <w:rFonts w:hint="eastAsia" w:ascii="宋体" w:hAnsi="宋体" w:eastAsia="宋体" w:cs="宋体"/>
          <w:b/>
          <w:color w:val="auto"/>
          <w:kern w:val="0"/>
          <w:sz w:val="28"/>
          <w:szCs w:val="28"/>
          <w:lang w:val="en-US" w:eastAsia="zh-CN"/>
        </w:rPr>
      </w:pPr>
      <w:r>
        <w:rPr>
          <w:rFonts w:hint="eastAsia" w:ascii="宋体" w:hAnsi="宋体" w:cs="宋体"/>
          <w:b/>
          <w:color w:val="auto"/>
          <w:kern w:val="0"/>
          <w:sz w:val="28"/>
          <w:szCs w:val="28"/>
        </w:rPr>
        <w:t xml:space="preserve">第三章 </w:t>
      </w:r>
      <w:r>
        <w:rPr>
          <w:rFonts w:hint="eastAsia" w:ascii="宋体" w:hAnsi="宋体" w:cs="宋体"/>
          <w:b/>
          <w:color w:val="auto"/>
          <w:kern w:val="0"/>
          <w:sz w:val="28"/>
          <w:szCs w:val="28"/>
          <w:lang w:val="en-US" w:eastAsia="zh-CN"/>
        </w:rPr>
        <w:t>评定条件</w:t>
      </w:r>
    </w:p>
    <w:p w14:paraId="11FFB539">
      <w:pPr>
        <w:spacing w:line="360" w:lineRule="auto"/>
        <w:ind w:firstLine="562" w:firstLineChars="200"/>
        <w:jc w:val="left"/>
        <w:rPr>
          <w:rFonts w:ascii="宋体" w:hAnsi="宋体" w:cs="宋体"/>
          <w:color w:val="auto"/>
          <w:kern w:val="0"/>
          <w:sz w:val="24"/>
        </w:rPr>
      </w:pPr>
      <w:r>
        <w:rPr>
          <w:rFonts w:hint="eastAsia" w:ascii="宋体" w:hAnsi="宋体" w:cs="宋体"/>
          <w:b/>
          <w:color w:val="auto"/>
          <w:kern w:val="0"/>
          <w:sz w:val="28"/>
          <w:szCs w:val="28"/>
        </w:rPr>
        <w:t xml:space="preserve">第五条  </w:t>
      </w:r>
      <w:r>
        <w:rPr>
          <w:rFonts w:hint="eastAsia" w:ascii="宋体" w:hAnsi="宋体" w:cs="宋体"/>
          <w:color w:val="auto"/>
          <w:kern w:val="0"/>
          <w:sz w:val="24"/>
        </w:rPr>
        <w:t>研究生奖学金基本申请条件</w:t>
      </w:r>
    </w:p>
    <w:p w14:paraId="54ADFA28">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一</w:t>
      </w:r>
      <w:r>
        <w:rPr>
          <w:rFonts w:hint="eastAsia" w:ascii="宋体" w:hAnsi="宋体" w:cs="宋体"/>
          <w:color w:val="auto"/>
          <w:kern w:val="0"/>
          <w:sz w:val="24"/>
          <w:lang w:eastAsia="zh-CN"/>
        </w:rPr>
        <w:t>）</w:t>
      </w:r>
      <w:r>
        <w:rPr>
          <w:rFonts w:hint="eastAsia" w:ascii="宋体" w:hAnsi="宋体" w:cs="宋体"/>
          <w:color w:val="auto"/>
          <w:kern w:val="0"/>
          <w:sz w:val="24"/>
        </w:rPr>
        <w:t>热爱祖国，拥护中国共产党的领导，积极践行社会主义核心价值观 ；</w:t>
      </w:r>
    </w:p>
    <w:p w14:paraId="37FBCD28">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二</w:t>
      </w:r>
      <w:r>
        <w:rPr>
          <w:rFonts w:hint="eastAsia" w:ascii="宋体" w:hAnsi="宋体" w:cs="宋体"/>
          <w:color w:val="auto"/>
          <w:kern w:val="0"/>
          <w:sz w:val="24"/>
          <w:lang w:eastAsia="zh-CN"/>
        </w:rPr>
        <w:t>）</w:t>
      </w:r>
      <w:r>
        <w:rPr>
          <w:rFonts w:hint="eastAsia" w:ascii="宋体" w:hAnsi="宋体" w:cs="宋体"/>
          <w:color w:val="auto"/>
          <w:kern w:val="0"/>
          <w:sz w:val="24"/>
        </w:rPr>
        <w:t>遵守法律法规、公民道德规范和学校规章制度，具有良好的道德品质和行为习惯，爱校荣校，积极传播网络正能量；</w:t>
      </w:r>
    </w:p>
    <w:p w14:paraId="15C36F2C">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三</w:t>
      </w:r>
      <w:r>
        <w:rPr>
          <w:rFonts w:hint="eastAsia" w:ascii="宋体" w:hAnsi="宋体" w:cs="宋体"/>
          <w:color w:val="auto"/>
          <w:kern w:val="0"/>
          <w:sz w:val="24"/>
          <w:lang w:eastAsia="zh-CN"/>
        </w:rPr>
        <w:t>）</w:t>
      </w:r>
      <w:r>
        <w:rPr>
          <w:rFonts w:hint="eastAsia" w:ascii="宋体" w:hAnsi="宋体" w:cs="宋体"/>
          <w:color w:val="auto"/>
          <w:kern w:val="0"/>
          <w:sz w:val="24"/>
        </w:rPr>
        <w:t>刻苦学习，勇于探索，尊敬师长，团结同学，关心集体</w:t>
      </w:r>
      <w:r>
        <w:rPr>
          <w:rFonts w:hint="eastAsia" w:ascii="宋体" w:hAnsi="宋体" w:cs="宋体"/>
          <w:color w:val="auto"/>
          <w:kern w:val="0"/>
          <w:sz w:val="24"/>
          <w:lang w:eastAsia="zh-CN"/>
        </w:rPr>
        <w:t>，</w:t>
      </w:r>
      <w:r>
        <w:rPr>
          <w:rFonts w:hint="eastAsia" w:ascii="宋体" w:hAnsi="宋体" w:cs="宋体"/>
          <w:color w:val="auto"/>
          <w:kern w:val="0"/>
          <w:sz w:val="24"/>
        </w:rPr>
        <w:t>诚实守信，自信自强，挺膺担当；</w:t>
      </w:r>
    </w:p>
    <w:p w14:paraId="40353648">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四</w:t>
      </w:r>
      <w:r>
        <w:rPr>
          <w:rFonts w:hint="eastAsia" w:ascii="宋体" w:hAnsi="宋体" w:cs="宋体"/>
          <w:color w:val="auto"/>
          <w:kern w:val="0"/>
          <w:sz w:val="24"/>
          <w:lang w:eastAsia="zh-CN"/>
        </w:rPr>
        <w:t>）</w:t>
      </w:r>
      <w:r>
        <w:rPr>
          <w:rFonts w:hint="eastAsia" w:ascii="宋体" w:hAnsi="宋体" w:cs="宋体"/>
          <w:color w:val="auto"/>
          <w:kern w:val="0"/>
          <w:sz w:val="24"/>
        </w:rPr>
        <w:t>积极参加体育锻炼、校园文化、劳动教育、安全教育、国防教育等活动，保持身心健康，有良好的卫生习惯；</w:t>
      </w:r>
    </w:p>
    <w:p w14:paraId="5A588A8D">
      <w:pPr>
        <w:widowControl/>
        <w:spacing w:line="360" w:lineRule="auto"/>
        <w:ind w:firstLine="480"/>
        <w:jc w:val="left"/>
        <w:rPr>
          <w:rFonts w:hint="eastAsia" w:ascii="宋体" w:hAnsi="宋体" w:cs="宋体"/>
          <w:color w:val="FF0000"/>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五</w:t>
      </w:r>
      <w:r>
        <w:rPr>
          <w:rFonts w:hint="eastAsia" w:ascii="宋体" w:hAnsi="宋体" w:cs="宋体"/>
          <w:color w:val="auto"/>
          <w:kern w:val="0"/>
          <w:sz w:val="24"/>
          <w:lang w:eastAsia="zh-CN"/>
        </w:rPr>
        <w:t>）</w:t>
      </w:r>
      <w:r>
        <w:rPr>
          <w:rFonts w:hint="eastAsia" w:ascii="宋体" w:hAnsi="宋体" w:cs="宋体"/>
          <w:color w:val="auto"/>
          <w:kern w:val="0"/>
          <w:sz w:val="24"/>
        </w:rPr>
        <w:t>积极参加《西北师范大学大学生学科竞赛指导目录》或《西北师范大学研究生学科专业竞赛目录》所列赛事至少1项；</w:t>
      </w:r>
    </w:p>
    <w:p w14:paraId="142FC628">
      <w:pPr>
        <w:widowControl/>
        <w:spacing w:line="360" w:lineRule="auto"/>
        <w:ind w:firstLine="480"/>
        <w:jc w:val="left"/>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六</w:t>
      </w:r>
      <w:r>
        <w:rPr>
          <w:rFonts w:hint="eastAsia" w:ascii="宋体" w:hAnsi="宋体" w:cs="宋体"/>
          <w:color w:val="auto"/>
          <w:kern w:val="0"/>
          <w:sz w:val="24"/>
          <w:lang w:eastAsia="zh-CN"/>
        </w:rPr>
        <w:t>）</w:t>
      </w:r>
      <w:r>
        <w:rPr>
          <w:rFonts w:hint="eastAsia" w:ascii="宋体" w:hAnsi="宋体" w:cs="宋体"/>
          <w:color w:val="auto"/>
          <w:kern w:val="0"/>
          <w:sz w:val="24"/>
        </w:rPr>
        <w:t>积极践行自我管理、自我服务、自我教育、自我监督</w:t>
      </w:r>
      <w:r>
        <w:rPr>
          <w:rFonts w:hint="eastAsia" w:ascii="宋体" w:hAnsi="宋体" w:cs="宋体"/>
          <w:color w:val="auto"/>
          <w:kern w:val="0"/>
          <w:sz w:val="24"/>
          <w:lang w:eastAsia="zh-CN"/>
        </w:rPr>
        <w:t>；</w:t>
      </w:r>
    </w:p>
    <w:p w14:paraId="2A214FAF">
      <w:pPr>
        <w:autoSpaceDE w:val="0"/>
        <w:autoSpaceDN w:val="0"/>
        <w:adjustRightIn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七</w:t>
      </w:r>
      <w:r>
        <w:rPr>
          <w:rFonts w:hint="eastAsia" w:ascii="宋体" w:hAnsi="宋体" w:cs="宋体"/>
          <w:color w:val="auto"/>
          <w:kern w:val="0"/>
          <w:sz w:val="24"/>
        </w:rPr>
        <w:t>）在其他条件相同情况下，大学英语六级成绩作为重要参考</w:t>
      </w:r>
      <w:r>
        <w:rPr>
          <w:rFonts w:hint="eastAsia" w:ascii="宋体" w:hAnsi="宋体" w:cs="宋体"/>
          <w:color w:val="auto"/>
          <w:kern w:val="0"/>
          <w:sz w:val="24"/>
          <w:lang w:eastAsia="zh-CN"/>
        </w:rPr>
        <w:t>。</w:t>
      </w:r>
    </w:p>
    <w:p w14:paraId="22CC68CB">
      <w:pPr>
        <w:widowControl/>
        <w:spacing w:line="360" w:lineRule="auto"/>
        <w:ind w:firstLine="480"/>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注：</w:t>
      </w:r>
      <w:r>
        <w:rPr>
          <w:rFonts w:hint="eastAsia" w:ascii="宋体" w:hAnsi="宋体" w:cs="宋体"/>
          <w:color w:val="auto"/>
          <w:kern w:val="0"/>
          <w:sz w:val="24"/>
        </w:rPr>
        <w:t>本细则中</w:t>
      </w:r>
      <w:r>
        <w:rPr>
          <w:rFonts w:hint="eastAsia" w:ascii="宋体" w:hAnsi="宋体" w:cs="宋体"/>
          <w:color w:val="auto"/>
          <w:kern w:val="0"/>
          <w:sz w:val="24"/>
          <w:lang w:val="en-US" w:eastAsia="zh-CN"/>
        </w:rPr>
        <w:t>竞赛项目、科研项目、学术论文、著作及应用类成果</w:t>
      </w:r>
      <w:r>
        <w:rPr>
          <w:rFonts w:hint="eastAsia" w:ascii="宋体" w:hAnsi="宋体" w:cs="宋体"/>
          <w:color w:val="auto"/>
          <w:kern w:val="0"/>
          <w:sz w:val="24"/>
        </w:rPr>
        <w:t>等科研成果</w:t>
      </w:r>
      <w:r>
        <w:rPr>
          <w:rFonts w:hint="eastAsia" w:ascii="宋体" w:hAnsi="宋体" w:cs="宋体"/>
          <w:color w:val="auto"/>
          <w:kern w:val="0"/>
          <w:sz w:val="24"/>
          <w:lang w:val="en-US" w:eastAsia="zh-CN"/>
        </w:rPr>
        <w:t>认定</w:t>
      </w:r>
      <w:r>
        <w:rPr>
          <w:rFonts w:hint="eastAsia" w:ascii="宋体" w:hAnsi="宋体" w:cs="宋体"/>
          <w:color w:val="auto"/>
          <w:kern w:val="0"/>
          <w:sz w:val="24"/>
        </w:rPr>
        <w:t>以</w:t>
      </w:r>
      <w:r>
        <w:rPr>
          <w:rFonts w:hint="eastAsia" w:ascii="宋体" w:hAnsi="宋体" w:cs="宋体"/>
          <w:color w:val="auto"/>
          <w:kern w:val="0"/>
          <w:sz w:val="24"/>
          <w:lang w:val="en-US" w:eastAsia="zh-CN"/>
        </w:rPr>
        <w:t>最新</w:t>
      </w:r>
      <w:r>
        <w:rPr>
          <w:rFonts w:hint="eastAsia" w:ascii="宋体" w:hAnsi="宋体" w:cs="宋体"/>
          <w:color w:val="auto"/>
          <w:kern w:val="0"/>
          <w:sz w:val="24"/>
        </w:rPr>
        <w:t>《西北师范大学教学科研项目、成果分类办法》为准。</w:t>
      </w:r>
    </w:p>
    <w:p w14:paraId="30394130">
      <w:pPr>
        <w:widowControl/>
        <w:spacing w:line="360" w:lineRule="auto"/>
        <w:ind w:firstLine="480"/>
        <w:jc w:val="left"/>
        <w:rPr>
          <w:rFonts w:ascii="宋体" w:hAnsi="宋体" w:cs="宋体"/>
          <w:color w:val="auto"/>
          <w:kern w:val="0"/>
          <w:sz w:val="24"/>
        </w:rPr>
      </w:pPr>
      <w:r>
        <w:rPr>
          <w:rFonts w:hint="eastAsia" w:ascii="宋体" w:hAnsi="宋体" w:cs="宋体"/>
          <w:b/>
          <w:color w:val="auto"/>
          <w:kern w:val="0"/>
          <w:sz w:val="28"/>
          <w:szCs w:val="28"/>
        </w:rPr>
        <w:t>第六条</w:t>
      </w:r>
      <w:r>
        <w:rPr>
          <w:rFonts w:hint="eastAsia" w:ascii="宋体" w:hAnsi="宋体" w:cs="宋体"/>
          <w:color w:val="auto"/>
          <w:kern w:val="0"/>
          <w:sz w:val="24"/>
        </w:rPr>
        <w:t xml:space="preserve">  有下列情况之一者，不具备当年研究生奖学金参评资格：</w:t>
      </w:r>
    </w:p>
    <w:p w14:paraId="2783D07E">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（一）参评学年所受纪律处分期未解除者；</w:t>
      </w:r>
    </w:p>
    <w:p w14:paraId="48718289">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（二）参评学年有抄袭剽窃、弄虚作假等学术不端行为经查证属实者；</w:t>
      </w:r>
    </w:p>
    <w:p w14:paraId="703F64C5">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（三）参评学年学籍状态处于休学、保留学籍者；</w:t>
      </w:r>
    </w:p>
    <w:p w14:paraId="5F2BADCF">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（四）超出学制期限基本修业年限者；</w:t>
      </w:r>
    </w:p>
    <w:p w14:paraId="7B0CBB03">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（五）所</w:t>
      </w:r>
      <w:r>
        <w:rPr>
          <w:rFonts w:hint="eastAsia" w:ascii="宋体" w:hAnsi="宋体" w:cs="宋体"/>
          <w:color w:val="auto"/>
          <w:kern w:val="0"/>
          <w:sz w:val="24"/>
          <w:lang w:val="en-US" w:eastAsia="zh-CN"/>
        </w:rPr>
        <w:t>修</w:t>
      </w:r>
      <w:r>
        <w:rPr>
          <w:rFonts w:hint="eastAsia" w:ascii="宋体" w:hAnsi="宋体" w:cs="宋体"/>
          <w:color w:val="auto"/>
          <w:kern w:val="0"/>
          <w:sz w:val="24"/>
        </w:rPr>
        <w:t>课程有课程成绩不及格者；</w:t>
      </w:r>
    </w:p>
    <w:p w14:paraId="3AA57363">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（六）未经相关部门批准而不按期足额交纳学费、住宿费者；</w:t>
      </w:r>
    </w:p>
    <w:p w14:paraId="7E35F952">
      <w:pPr>
        <w:widowControl/>
        <w:spacing w:line="360" w:lineRule="auto"/>
        <w:ind w:firstLine="480"/>
        <w:jc w:val="left"/>
        <w:rPr>
          <w:rFonts w:ascii="宋体" w:hAnsi="宋体" w:cs="宋体"/>
          <w:color w:val="auto"/>
          <w:kern w:val="0"/>
          <w:sz w:val="24"/>
        </w:rPr>
      </w:pPr>
      <w:r>
        <w:rPr>
          <w:rFonts w:hint="eastAsia" w:ascii="宋体" w:hAnsi="宋体" w:cs="宋体"/>
          <w:color w:val="auto"/>
          <w:kern w:val="0"/>
          <w:sz w:val="24"/>
        </w:rPr>
        <w:t>（七）不积极参加学校组织的各类文体活动、社会实践、劳动教育等活动者；</w:t>
      </w:r>
    </w:p>
    <w:p w14:paraId="294695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八</w:t>
      </w:r>
      <w:r>
        <w:rPr>
          <w:rFonts w:hint="eastAsia" w:ascii="宋体" w:hAnsi="宋体" w:cs="宋体"/>
          <w:color w:val="auto"/>
          <w:kern w:val="0"/>
          <w:sz w:val="24"/>
        </w:rPr>
        <w:t>）休学期间；</w:t>
      </w:r>
    </w:p>
    <w:p w14:paraId="1E6D22E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 xml:space="preserve">九) </w:t>
      </w:r>
      <w:r>
        <w:rPr>
          <w:rFonts w:hint="eastAsia" w:ascii="宋体" w:hAnsi="宋体" w:cs="宋体"/>
          <w:color w:val="auto"/>
          <w:kern w:val="0"/>
          <w:sz w:val="24"/>
        </w:rPr>
        <w:t>新生入校未按时按要求将档案等按照国家规定转入学校者；</w:t>
      </w:r>
    </w:p>
    <w:p w14:paraId="5535768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rPr>
        <w:t>（十</w:t>
      </w:r>
      <w:r>
        <w:rPr>
          <w:rFonts w:hint="eastAsia" w:ascii="宋体" w:hAnsi="宋体" w:cs="宋体"/>
          <w:color w:val="auto"/>
          <w:kern w:val="0"/>
          <w:sz w:val="24"/>
          <w:lang w:eastAsia="zh-CN"/>
        </w:rPr>
        <w:t>）</w:t>
      </w:r>
      <w:r>
        <w:rPr>
          <w:rFonts w:hint="eastAsia" w:ascii="宋体" w:hAnsi="宋体" w:cs="宋体"/>
          <w:color w:val="auto"/>
          <w:kern w:val="0"/>
          <w:sz w:val="24"/>
        </w:rPr>
        <w:t>上学期间将档案转出者</w:t>
      </w:r>
      <w:r>
        <w:rPr>
          <w:rFonts w:hint="eastAsia" w:ascii="宋体" w:hAnsi="宋体" w:cs="宋体"/>
          <w:color w:val="auto"/>
          <w:kern w:val="0"/>
          <w:sz w:val="24"/>
          <w:lang w:eastAsia="zh-CN"/>
        </w:rPr>
        <w:t>；</w:t>
      </w:r>
    </w:p>
    <w:p w14:paraId="775AA183">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十一</w:t>
      </w:r>
      <w:r>
        <w:rPr>
          <w:rFonts w:hint="eastAsia" w:ascii="宋体" w:hAnsi="宋体" w:cs="宋体"/>
          <w:color w:val="auto"/>
          <w:kern w:val="0"/>
          <w:sz w:val="24"/>
          <w:lang w:eastAsia="zh-CN"/>
        </w:rPr>
        <w:t>）学院认定为不能参评的其他情形者。</w:t>
      </w:r>
    </w:p>
    <w:p w14:paraId="0063C962">
      <w:pPr>
        <w:widowControl/>
        <w:spacing w:line="360" w:lineRule="auto"/>
        <w:ind w:firstLine="480"/>
        <w:jc w:val="left"/>
        <w:rPr>
          <w:rFonts w:hint="eastAsia" w:ascii="宋体" w:hAnsi="宋体" w:cs="宋体"/>
          <w:color w:val="auto"/>
          <w:kern w:val="0"/>
          <w:sz w:val="24"/>
        </w:rPr>
      </w:pPr>
      <w:r>
        <w:rPr>
          <w:rFonts w:hint="eastAsia" w:ascii="宋体" w:hAnsi="宋体" w:cs="宋体"/>
          <w:b/>
          <w:color w:val="auto"/>
          <w:kern w:val="0"/>
          <w:sz w:val="28"/>
          <w:szCs w:val="28"/>
        </w:rPr>
        <w:t xml:space="preserve">第七条 </w:t>
      </w:r>
      <w:r>
        <w:rPr>
          <w:rFonts w:hint="eastAsia" w:ascii="宋体" w:hAnsi="宋体" w:cs="宋体"/>
          <w:color w:val="auto"/>
          <w:kern w:val="0"/>
          <w:sz w:val="24"/>
        </w:rPr>
        <w:t xml:space="preserve"> 学制期限基本修业年限内，因国家和单位公派出国留学或校际交流在境外学习的研究生，仍具备研究生奖学金参评资格；因私出国留学、疾病、创业等原因未在校学习的研究生，期间内原则上不具备研究生奖学金参评资格。</w:t>
      </w:r>
    </w:p>
    <w:p w14:paraId="34A3ACEE">
      <w:pPr>
        <w:widowControl/>
        <w:spacing w:line="360" w:lineRule="auto"/>
        <w:ind w:firstLine="480"/>
        <w:jc w:val="left"/>
        <w:rPr>
          <w:rFonts w:hint="eastAsia" w:ascii="宋体" w:hAnsi="宋体" w:cs="宋体"/>
          <w:color w:val="auto"/>
          <w:kern w:val="0"/>
          <w:sz w:val="24"/>
        </w:rPr>
      </w:pPr>
      <w:r>
        <w:rPr>
          <w:rFonts w:hint="eastAsia" w:ascii="宋体" w:hAnsi="宋体" w:cs="宋体"/>
          <w:b/>
          <w:color w:val="auto"/>
          <w:kern w:val="0"/>
          <w:sz w:val="28"/>
          <w:szCs w:val="28"/>
        </w:rPr>
        <w:t>第八条</w:t>
      </w:r>
      <w:r>
        <w:rPr>
          <w:rFonts w:hint="eastAsia" w:ascii="宋体" w:hAnsi="宋体" w:cs="宋体"/>
          <w:color w:val="auto"/>
          <w:kern w:val="0"/>
          <w:sz w:val="24"/>
        </w:rPr>
        <w:t xml:space="preserve">  硕博连读研究生、直博生和招生简章中注明不授予中间学位的本硕博、硕博连读学生，以实际注册的学籍身份参与研究生奖学金的评定。在硕士课程学习阶段按照硕士研究生身份参与评定，进入博士课程学习阶段按照博士研究生身份参与评定。</w:t>
      </w:r>
    </w:p>
    <w:p w14:paraId="08BF40B3">
      <w:pPr>
        <w:widowControl/>
        <w:spacing w:line="360" w:lineRule="auto"/>
        <w:ind w:firstLine="480"/>
        <w:jc w:val="left"/>
        <w:rPr>
          <w:rFonts w:hint="eastAsia" w:ascii="宋体" w:hAnsi="宋体" w:cs="宋体"/>
          <w:color w:val="auto"/>
          <w:kern w:val="0"/>
          <w:sz w:val="24"/>
        </w:rPr>
      </w:pPr>
    </w:p>
    <w:p w14:paraId="39238C06">
      <w:pPr>
        <w:spacing w:line="360" w:lineRule="auto"/>
        <w:jc w:val="center"/>
        <w:rPr>
          <w:rFonts w:hint="eastAsia" w:ascii="宋体" w:hAnsi="宋体" w:cs="宋体"/>
          <w:b/>
          <w:color w:val="auto"/>
          <w:kern w:val="0"/>
          <w:sz w:val="28"/>
          <w:szCs w:val="28"/>
          <w:lang w:val="en-US" w:eastAsia="zh-CN"/>
        </w:rPr>
      </w:pPr>
      <w:r>
        <w:rPr>
          <w:rFonts w:hint="eastAsia" w:ascii="宋体" w:hAnsi="宋体" w:cs="宋体"/>
          <w:b/>
          <w:color w:val="auto"/>
          <w:kern w:val="0"/>
          <w:sz w:val="28"/>
          <w:szCs w:val="28"/>
          <w:lang w:val="en-US" w:eastAsia="zh-CN"/>
        </w:rPr>
        <w:t>第四章 奖项设置</w:t>
      </w:r>
    </w:p>
    <w:p w14:paraId="18E379FB">
      <w:pPr>
        <w:widowControl/>
        <w:spacing w:line="360" w:lineRule="auto"/>
        <w:ind w:firstLine="480"/>
        <w:jc w:val="left"/>
        <w:rPr>
          <w:rFonts w:hint="eastAsia" w:ascii="宋体" w:hAnsi="宋体" w:cs="宋体"/>
          <w:color w:val="auto"/>
          <w:kern w:val="0"/>
          <w:sz w:val="24"/>
          <w:lang w:val="en-US" w:eastAsia="zh-CN"/>
        </w:rPr>
      </w:pPr>
      <w:r>
        <w:rPr>
          <w:rFonts w:hint="eastAsia" w:ascii="宋体" w:hAnsi="宋体" w:cs="宋体"/>
          <w:b/>
          <w:color w:val="auto"/>
          <w:kern w:val="0"/>
          <w:sz w:val="28"/>
          <w:szCs w:val="28"/>
          <w:lang w:val="en-US" w:eastAsia="zh-CN"/>
        </w:rPr>
        <w:t>第九条</w:t>
      </w:r>
      <w:r>
        <w:rPr>
          <w:rFonts w:hint="eastAsia" w:ascii="宋体" w:hAnsi="宋体" w:cs="宋体"/>
          <w:color w:val="auto"/>
          <w:kern w:val="0"/>
          <w:sz w:val="24"/>
          <w:lang w:val="en-US" w:eastAsia="zh-CN"/>
        </w:rPr>
        <w:t xml:space="preserve">  奖项设置及参评条件</w:t>
      </w:r>
    </w:p>
    <w:p w14:paraId="561E7BE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一、国家奖学金</w:t>
      </w:r>
    </w:p>
    <w:p w14:paraId="231EF6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（一）</w:t>
      </w:r>
      <w:r>
        <w:rPr>
          <w:rFonts w:hint="default" w:ascii="宋体" w:hAnsi="宋体" w:cs="宋体"/>
          <w:color w:val="auto"/>
          <w:kern w:val="0"/>
          <w:sz w:val="24"/>
          <w:lang w:val="en-US" w:eastAsia="zh-CN"/>
        </w:rPr>
        <w:t>参评条件</w:t>
      </w:r>
    </w:p>
    <w:p w14:paraId="7FDFB734">
      <w:pPr>
        <w:widowControl/>
        <w:spacing w:line="360" w:lineRule="auto"/>
        <w:ind w:firstLine="480"/>
        <w:jc w:val="left"/>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1.博士研究生申请国家奖学金，除符合规定的基本条件外，</w:t>
      </w:r>
    </w:p>
    <w:p w14:paraId="29E78FCB">
      <w:pPr>
        <w:widowControl/>
        <w:spacing w:line="360" w:lineRule="auto"/>
        <w:ind w:firstLine="480"/>
        <w:jc w:val="left"/>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须同时具备以下条件：①至少有1项《西北师范大学教学科研项 目与成果分类办法》规定的科研成果</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人文、社会科学B 类及以上，理、工科 A 类</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②上一学年度所修课程平均成绩达到80分</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含</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以上；③至少参加过一项社会工作（如做公开学术讲座，参加全国学术会议和研究生学术沙龙等）。</w:t>
      </w:r>
    </w:p>
    <w:p w14:paraId="1871D40F">
      <w:pPr>
        <w:widowControl/>
        <w:spacing w:line="360" w:lineRule="auto"/>
        <w:ind w:firstLine="480"/>
        <w:jc w:val="left"/>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2.硕士研究生申请国家奖学金，除符合规定的基本条件外，须同时具备以下条件：①至少有1项《西北师范大学教学科研项目与成果分类办法》规定的D 类及以上科研成果；②上一学年度所修课程平均成绩达到80分</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含</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以上。</w:t>
      </w:r>
    </w:p>
    <w:p w14:paraId="7958D73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（二）</w:t>
      </w:r>
      <w:r>
        <w:rPr>
          <w:rFonts w:hint="default" w:ascii="宋体" w:hAnsi="宋体" w:cs="宋体"/>
          <w:color w:val="auto"/>
          <w:kern w:val="0"/>
          <w:sz w:val="24"/>
          <w:lang w:val="en-US" w:eastAsia="zh-CN"/>
        </w:rPr>
        <w:t>奖励标准</w:t>
      </w:r>
    </w:p>
    <w:p w14:paraId="6225A45B">
      <w:pPr>
        <w:widowControl/>
        <w:spacing w:line="360" w:lineRule="auto"/>
        <w:ind w:firstLine="480"/>
        <w:jc w:val="left"/>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博士研究生每生每年30000元，硕士研究生每生每年20000元。</w:t>
      </w:r>
    </w:p>
    <w:p w14:paraId="00366E6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（三）</w:t>
      </w:r>
      <w:r>
        <w:rPr>
          <w:rFonts w:hint="eastAsia" w:ascii="宋体" w:hAnsi="宋体" w:cs="宋体"/>
          <w:color w:val="auto"/>
          <w:kern w:val="0"/>
          <w:sz w:val="24"/>
        </w:rPr>
        <w:t>在其他条件相同情况下，大学英语六级成绩作为重要参考</w:t>
      </w:r>
      <w:r>
        <w:rPr>
          <w:rFonts w:hint="eastAsia" w:ascii="宋体" w:hAnsi="宋体" w:cs="宋体"/>
          <w:color w:val="auto"/>
          <w:kern w:val="0"/>
          <w:sz w:val="24"/>
          <w:lang w:eastAsia="zh-CN"/>
        </w:rPr>
        <w:t>。</w:t>
      </w:r>
    </w:p>
    <w:p w14:paraId="201F55B6">
      <w:pPr>
        <w:widowControl/>
        <w:spacing w:line="360" w:lineRule="auto"/>
        <w:ind w:firstLine="480"/>
        <w:jc w:val="left"/>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二、学业奖学金</w:t>
      </w:r>
    </w:p>
    <w:p w14:paraId="5C5E8A5C">
      <w:pPr>
        <w:widowControl/>
        <w:spacing w:line="360" w:lineRule="auto"/>
        <w:ind w:firstLine="480"/>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（一）</w:t>
      </w:r>
      <w:r>
        <w:rPr>
          <w:rFonts w:hint="default" w:ascii="宋体" w:hAnsi="宋体" w:cs="宋体"/>
          <w:color w:val="auto"/>
          <w:kern w:val="0"/>
          <w:sz w:val="24"/>
          <w:lang w:val="en-US" w:eastAsia="zh-CN"/>
        </w:rPr>
        <w:t>参评条件</w:t>
      </w:r>
    </w:p>
    <w:p w14:paraId="4206A196">
      <w:pPr>
        <w:widowControl/>
        <w:spacing w:line="360" w:lineRule="auto"/>
        <w:ind w:firstLine="480"/>
        <w:jc w:val="left"/>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研究生申请学业奖学金，除符合规定的基本条件外，须同时符合在读学院制定的申请学业奖学金的其他条件。</w:t>
      </w:r>
    </w:p>
    <w:p w14:paraId="4F6ECD68">
      <w:pPr>
        <w:widowControl/>
        <w:spacing w:line="360" w:lineRule="auto"/>
        <w:ind w:firstLine="480"/>
        <w:jc w:val="lef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（二）</w:t>
      </w:r>
      <w:r>
        <w:rPr>
          <w:rFonts w:hint="default" w:ascii="宋体" w:hAnsi="宋体" w:cs="宋体"/>
          <w:color w:val="auto"/>
          <w:kern w:val="0"/>
          <w:sz w:val="24"/>
          <w:lang w:val="en-US" w:eastAsia="zh-CN"/>
        </w:rPr>
        <w:t>名额分配</w:t>
      </w:r>
    </w:p>
    <w:p w14:paraId="275E5997">
      <w:pPr>
        <w:widowControl/>
        <w:spacing w:line="360" w:lineRule="auto"/>
        <w:ind w:firstLine="480"/>
        <w:jc w:val="left"/>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结合符合参评条件的二年级及以上的研究生人数，根据当年经费下达情况按比例进行分配，具体比例如下表所示。</w:t>
      </w:r>
    </w:p>
    <w:tbl>
      <w:tblPr>
        <w:tblStyle w:val="9"/>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3"/>
        <w:gridCol w:w="3355"/>
        <w:gridCol w:w="3140"/>
      </w:tblGrid>
      <w:tr w14:paraId="5DBA6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203" w:type="dxa"/>
            <w:vAlign w:val="center"/>
          </w:tcPr>
          <w:p w14:paraId="1752BF12">
            <w:pPr>
              <w:pStyle w:val="8"/>
              <w:keepNext w:val="0"/>
              <w:keepLines w:val="0"/>
              <w:pageBreakBefore w:val="0"/>
              <w:kinsoku/>
              <w:wordWrap/>
              <w:overflowPunct/>
              <w:topLinePunct w:val="0"/>
              <w:autoSpaceDE/>
              <w:autoSpaceDN/>
              <w:bidi w:val="0"/>
              <w:adjustRightInd/>
              <w:snapToGrid/>
              <w:spacing w:line="219" w:lineRule="auto"/>
              <w:ind w:left="0" w:firstLine="0"/>
              <w:jc w:val="center"/>
              <w:textAlignment w:val="auto"/>
              <w:rPr>
                <w:rFonts w:hint="default" w:ascii="宋体" w:hAnsi="宋体" w:eastAsia="宋体" w:cs="宋体"/>
                <w:b/>
                <w:bCs/>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学生类别</w:t>
            </w:r>
          </w:p>
        </w:tc>
        <w:tc>
          <w:tcPr>
            <w:tcW w:w="3355" w:type="dxa"/>
            <w:vAlign w:val="center"/>
          </w:tcPr>
          <w:p w14:paraId="028D98A0">
            <w:pPr>
              <w:pStyle w:val="8"/>
              <w:keepNext w:val="0"/>
              <w:keepLines w:val="0"/>
              <w:pageBreakBefore w:val="0"/>
              <w:kinsoku/>
              <w:wordWrap/>
              <w:overflowPunct/>
              <w:topLinePunct w:val="0"/>
              <w:autoSpaceDE/>
              <w:autoSpaceDN/>
              <w:bidi w:val="0"/>
              <w:adjustRightInd/>
              <w:snapToGrid/>
              <w:spacing w:line="220" w:lineRule="auto"/>
              <w:ind w:left="0" w:firstLine="0"/>
              <w:jc w:val="center"/>
              <w:textAlignment w:val="auto"/>
              <w:rPr>
                <w:rFonts w:hint="default" w:ascii="宋体" w:hAnsi="宋体" w:eastAsia="宋体" w:cs="宋体"/>
                <w:b/>
                <w:bCs/>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奖项名称</w:t>
            </w:r>
          </w:p>
        </w:tc>
        <w:tc>
          <w:tcPr>
            <w:tcW w:w="3140" w:type="dxa"/>
            <w:vAlign w:val="center"/>
          </w:tcPr>
          <w:p w14:paraId="26217DEA">
            <w:pPr>
              <w:pStyle w:val="8"/>
              <w:keepNext w:val="0"/>
              <w:keepLines w:val="0"/>
              <w:pageBreakBefore w:val="0"/>
              <w:kinsoku/>
              <w:wordWrap/>
              <w:overflowPunct/>
              <w:topLinePunct w:val="0"/>
              <w:autoSpaceDE/>
              <w:autoSpaceDN/>
              <w:bidi w:val="0"/>
              <w:adjustRightInd/>
              <w:snapToGrid/>
              <w:spacing w:line="218" w:lineRule="auto"/>
              <w:ind w:left="0" w:firstLine="0"/>
              <w:jc w:val="center"/>
              <w:textAlignment w:val="auto"/>
              <w:rPr>
                <w:rFonts w:hint="default" w:ascii="宋体" w:hAnsi="宋体" w:eastAsia="宋体" w:cs="宋体"/>
                <w:b/>
                <w:bCs/>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名额分配比例</w:t>
            </w:r>
          </w:p>
        </w:tc>
      </w:tr>
      <w:tr w14:paraId="69573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203" w:type="dxa"/>
            <w:vMerge w:val="restart"/>
            <w:tcBorders>
              <w:bottom w:val="nil"/>
            </w:tcBorders>
            <w:vAlign w:val="center"/>
          </w:tcPr>
          <w:p w14:paraId="4E18B7FD">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博士研究生</w:t>
            </w:r>
          </w:p>
        </w:tc>
        <w:tc>
          <w:tcPr>
            <w:tcW w:w="3355" w:type="dxa"/>
            <w:vAlign w:val="center"/>
          </w:tcPr>
          <w:p w14:paraId="52542ED7">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学业一等奖学金</w:t>
            </w:r>
          </w:p>
        </w:tc>
        <w:tc>
          <w:tcPr>
            <w:tcW w:w="3140" w:type="dxa"/>
            <w:vAlign w:val="center"/>
          </w:tcPr>
          <w:p w14:paraId="3F24806A">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≤5%</w:t>
            </w:r>
          </w:p>
        </w:tc>
      </w:tr>
      <w:tr w14:paraId="2CD8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203" w:type="dxa"/>
            <w:vMerge w:val="continue"/>
            <w:tcBorders>
              <w:top w:val="nil"/>
              <w:bottom w:val="nil"/>
            </w:tcBorders>
            <w:vAlign w:val="center"/>
          </w:tcPr>
          <w:p w14:paraId="2959ED0B">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p>
        </w:tc>
        <w:tc>
          <w:tcPr>
            <w:tcW w:w="3355" w:type="dxa"/>
            <w:vAlign w:val="center"/>
          </w:tcPr>
          <w:p w14:paraId="4C4E0261">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学业二等奖学金</w:t>
            </w:r>
          </w:p>
        </w:tc>
        <w:tc>
          <w:tcPr>
            <w:tcW w:w="3140" w:type="dxa"/>
            <w:vAlign w:val="center"/>
          </w:tcPr>
          <w:p w14:paraId="60B5E00B">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≤10%</w:t>
            </w:r>
          </w:p>
        </w:tc>
      </w:tr>
      <w:tr w14:paraId="17474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203" w:type="dxa"/>
            <w:vMerge w:val="continue"/>
            <w:tcBorders>
              <w:top w:val="nil"/>
            </w:tcBorders>
            <w:vAlign w:val="center"/>
          </w:tcPr>
          <w:p w14:paraId="784B8A51">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p>
        </w:tc>
        <w:tc>
          <w:tcPr>
            <w:tcW w:w="3355" w:type="dxa"/>
            <w:vAlign w:val="center"/>
          </w:tcPr>
          <w:p w14:paraId="0C827B98">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学业三等奖学金</w:t>
            </w:r>
          </w:p>
        </w:tc>
        <w:tc>
          <w:tcPr>
            <w:tcW w:w="3140" w:type="dxa"/>
            <w:vAlign w:val="center"/>
          </w:tcPr>
          <w:p w14:paraId="095C24F0">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≤20%</w:t>
            </w:r>
          </w:p>
        </w:tc>
      </w:tr>
      <w:tr w14:paraId="30A5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203" w:type="dxa"/>
            <w:vMerge w:val="restart"/>
            <w:tcBorders>
              <w:bottom w:val="nil"/>
            </w:tcBorders>
            <w:vAlign w:val="center"/>
          </w:tcPr>
          <w:p w14:paraId="64A1ADBD">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硕士研究生</w:t>
            </w:r>
          </w:p>
        </w:tc>
        <w:tc>
          <w:tcPr>
            <w:tcW w:w="3355" w:type="dxa"/>
            <w:vAlign w:val="center"/>
          </w:tcPr>
          <w:p w14:paraId="3C2C563B">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学业一等奖学金</w:t>
            </w:r>
          </w:p>
        </w:tc>
        <w:tc>
          <w:tcPr>
            <w:tcW w:w="3140" w:type="dxa"/>
            <w:vAlign w:val="center"/>
          </w:tcPr>
          <w:p w14:paraId="64D950A0">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≤3%</w:t>
            </w:r>
          </w:p>
        </w:tc>
      </w:tr>
      <w:tr w14:paraId="4DFC3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203" w:type="dxa"/>
            <w:vMerge w:val="continue"/>
            <w:tcBorders>
              <w:top w:val="nil"/>
              <w:bottom w:val="nil"/>
            </w:tcBorders>
            <w:vAlign w:val="center"/>
          </w:tcPr>
          <w:p w14:paraId="7ECEE482">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p>
        </w:tc>
        <w:tc>
          <w:tcPr>
            <w:tcW w:w="3355" w:type="dxa"/>
            <w:vAlign w:val="center"/>
          </w:tcPr>
          <w:p w14:paraId="143F7F03">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学业二等奖学金</w:t>
            </w:r>
          </w:p>
        </w:tc>
        <w:tc>
          <w:tcPr>
            <w:tcW w:w="3140" w:type="dxa"/>
            <w:vAlign w:val="center"/>
          </w:tcPr>
          <w:p w14:paraId="691BE1FF">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≤5%</w:t>
            </w:r>
          </w:p>
        </w:tc>
      </w:tr>
      <w:tr w14:paraId="22F3C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203" w:type="dxa"/>
            <w:vMerge w:val="continue"/>
            <w:tcBorders>
              <w:top w:val="nil"/>
            </w:tcBorders>
            <w:vAlign w:val="center"/>
          </w:tcPr>
          <w:p w14:paraId="30BB9CEB">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p>
        </w:tc>
        <w:tc>
          <w:tcPr>
            <w:tcW w:w="3355" w:type="dxa"/>
            <w:vAlign w:val="center"/>
          </w:tcPr>
          <w:p w14:paraId="19175D03">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学业三等奖学金</w:t>
            </w:r>
          </w:p>
        </w:tc>
        <w:tc>
          <w:tcPr>
            <w:tcW w:w="3140" w:type="dxa"/>
            <w:vAlign w:val="center"/>
          </w:tcPr>
          <w:p w14:paraId="63E86CAB">
            <w:pPr>
              <w:keepNext w:val="0"/>
              <w:keepLines w:val="0"/>
              <w:pageBreakBefore w:val="0"/>
              <w:widowControl/>
              <w:kinsoku/>
              <w:wordWrap/>
              <w:overflowPunct/>
              <w:topLinePunct w:val="0"/>
              <w:autoSpaceDE/>
              <w:autoSpaceDN/>
              <w:bidi w:val="0"/>
              <w:adjustRightInd/>
              <w:snapToGrid/>
              <w:spacing w:line="360" w:lineRule="auto"/>
              <w:ind w:left="0" w:firstLine="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≤7%</w:t>
            </w:r>
          </w:p>
        </w:tc>
      </w:tr>
    </w:tbl>
    <w:tbl>
      <w:tblPr>
        <w:tblStyle w:val="9"/>
        <w:tblpPr w:leftFromText="180" w:rightFromText="180" w:vertAnchor="text" w:horzAnchor="page" w:tblpXSpec="center" w:tblpY="148"/>
        <w:tblOverlap w:val="never"/>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4"/>
        <w:gridCol w:w="3340"/>
        <w:gridCol w:w="3125"/>
      </w:tblGrid>
      <w:tr w14:paraId="0D67A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2194" w:type="dxa"/>
            <w:vAlign w:val="center"/>
          </w:tcPr>
          <w:p w14:paraId="37F957C6">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b/>
                <w:bCs/>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学生类别</w:t>
            </w:r>
          </w:p>
        </w:tc>
        <w:tc>
          <w:tcPr>
            <w:tcW w:w="3340" w:type="dxa"/>
            <w:vAlign w:val="center"/>
          </w:tcPr>
          <w:p w14:paraId="05BF2835">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b/>
                <w:bCs/>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奖项名称</w:t>
            </w:r>
          </w:p>
        </w:tc>
        <w:tc>
          <w:tcPr>
            <w:tcW w:w="3125" w:type="dxa"/>
            <w:vAlign w:val="center"/>
          </w:tcPr>
          <w:p w14:paraId="0BE135B3">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b/>
                <w:bCs/>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奖励标准</w:t>
            </w:r>
            <w:r>
              <w:rPr>
                <w:rFonts w:hint="eastAsia" w:cs="宋体"/>
                <w:b/>
                <w:bCs/>
                <w:color w:val="auto"/>
                <w:kern w:val="0"/>
                <w:sz w:val="24"/>
                <w:szCs w:val="24"/>
                <w:lang w:val="en-US" w:eastAsia="zh-CN" w:bidi="ar-SA"/>
              </w:rPr>
              <w:t>（</w:t>
            </w:r>
            <w:r>
              <w:rPr>
                <w:rFonts w:hint="default" w:ascii="宋体" w:hAnsi="宋体" w:eastAsia="宋体" w:cs="宋体"/>
                <w:b/>
                <w:bCs/>
                <w:color w:val="auto"/>
                <w:kern w:val="0"/>
                <w:sz w:val="24"/>
                <w:szCs w:val="24"/>
                <w:lang w:val="en-US" w:eastAsia="zh-CN" w:bidi="ar-SA"/>
              </w:rPr>
              <w:t>元/年</w:t>
            </w:r>
            <w:r>
              <w:rPr>
                <w:rFonts w:hint="eastAsia" w:cs="宋体"/>
                <w:b/>
                <w:bCs/>
                <w:color w:val="auto"/>
                <w:kern w:val="0"/>
                <w:sz w:val="24"/>
                <w:szCs w:val="24"/>
                <w:lang w:val="en-US" w:eastAsia="zh-CN" w:bidi="ar-SA"/>
              </w:rPr>
              <w:t>）</w:t>
            </w:r>
          </w:p>
        </w:tc>
      </w:tr>
      <w:tr w14:paraId="41F58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2194" w:type="dxa"/>
            <w:vMerge w:val="restart"/>
            <w:tcBorders>
              <w:bottom w:val="nil"/>
            </w:tcBorders>
            <w:vAlign w:val="center"/>
          </w:tcPr>
          <w:p w14:paraId="6A18C1EB">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p>
          <w:p w14:paraId="2B762A9B">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p>
          <w:p w14:paraId="2756EDD9">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博士研究生</w:t>
            </w:r>
          </w:p>
        </w:tc>
        <w:tc>
          <w:tcPr>
            <w:tcW w:w="3340" w:type="dxa"/>
            <w:vAlign w:val="center"/>
          </w:tcPr>
          <w:p w14:paraId="30ED349F">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学业一等奖学金</w:t>
            </w:r>
          </w:p>
        </w:tc>
        <w:tc>
          <w:tcPr>
            <w:tcW w:w="3125" w:type="dxa"/>
            <w:vAlign w:val="center"/>
          </w:tcPr>
          <w:p w14:paraId="4E7AF802">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12000</w:t>
            </w:r>
          </w:p>
        </w:tc>
      </w:tr>
      <w:tr w14:paraId="426CF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2194" w:type="dxa"/>
            <w:vMerge w:val="continue"/>
            <w:tcBorders>
              <w:top w:val="nil"/>
              <w:bottom w:val="nil"/>
            </w:tcBorders>
            <w:vAlign w:val="center"/>
          </w:tcPr>
          <w:p w14:paraId="193943DF">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p>
        </w:tc>
        <w:tc>
          <w:tcPr>
            <w:tcW w:w="3340" w:type="dxa"/>
            <w:vAlign w:val="center"/>
          </w:tcPr>
          <w:p w14:paraId="7E90C3E0">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学业二等奖学金</w:t>
            </w:r>
          </w:p>
        </w:tc>
        <w:tc>
          <w:tcPr>
            <w:tcW w:w="3125" w:type="dxa"/>
            <w:vAlign w:val="center"/>
          </w:tcPr>
          <w:p w14:paraId="43CAF717">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10000</w:t>
            </w:r>
          </w:p>
        </w:tc>
      </w:tr>
      <w:tr w14:paraId="63F7D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2194" w:type="dxa"/>
            <w:vMerge w:val="continue"/>
            <w:tcBorders>
              <w:top w:val="nil"/>
            </w:tcBorders>
            <w:vAlign w:val="center"/>
          </w:tcPr>
          <w:p w14:paraId="1734E790">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p>
        </w:tc>
        <w:tc>
          <w:tcPr>
            <w:tcW w:w="3340" w:type="dxa"/>
            <w:vAlign w:val="center"/>
          </w:tcPr>
          <w:p w14:paraId="0D8F50A6">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学业三等奖学金</w:t>
            </w:r>
          </w:p>
        </w:tc>
        <w:tc>
          <w:tcPr>
            <w:tcW w:w="3125" w:type="dxa"/>
            <w:vAlign w:val="center"/>
          </w:tcPr>
          <w:p w14:paraId="7E19AE26">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8000</w:t>
            </w:r>
          </w:p>
        </w:tc>
      </w:tr>
      <w:tr w14:paraId="79E7C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2194" w:type="dxa"/>
            <w:vMerge w:val="restart"/>
            <w:tcBorders>
              <w:bottom w:val="nil"/>
            </w:tcBorders>
            <w:vAlign w:val="center"/>
          </w:tcPr>
          <w:p w14:paraId="0AAAE0A2">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p>
          <w:p w14:paraId="02D91D3E">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p>
          <w:p w14:paraId="6D657C1C">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硕士研究生</w:t>
            </w:r>
          </w:p>
        </w:tc>
        <w:tc>
          <w:tcPr>
            <w:tcW w:w="3340" w:type="dxa"/>
            <w:vAlign w:val="center"/>
          </w:tcPr>
          <w:p w14:paraId="2EDE457D">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学业一等奖学金</w:t>
            </w:r>
          </w:p>
        </w:tc>
        <w:tc>
          <w:tcPr>
            <w:tcW w:w="3125" w:type="dxa"/>
            <w:vAlign w:val="center"/>
          </w:tcPr>
          <w:p w14:paraId="4155B022">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6000</w:t>
            </w:r>
          </w:p>
        </w:tc>
      </w:tr>
      <w:tr w14:paraId="6890E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2194" w:type="dxa"/>
            <w:vMerge w:val="continue"/>
            <w:tcBorders>
              <w:top w:val="nil"/>
              <w:bottom w:val="nil"/>
            </w:tcBorders>
            <w:vAlign w:val="center"/>
          </w:tcPr>
          <w:p w14:paraId="0F059A72">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p>
        </w:tc>
        <w:tc>
          <w:tcPr>
            <w:tcW w:w="3340" w:type="dxa"/>
            <w:vAlign w:val="center"/>
          </w:tcPr>
          <w:p w14:paraId="290A26B8">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学业二等奖学金</w:t>
            </w:r>
          </w:p>
        </w:tc>
        <w:tc>
          <w:tcPr>
            <w:tcW w:w="3125" w:type="dxa"/>
            <w:vAlign w:val="center"/>
          </w:tcPr>
          <w:p w14:paraId="0DAA5A2E">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4000</w:t>
            </w:r>
          </w:p>
        </w:tc>
      </w:tr>
      <w:tr w14:paraId="2B153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2194" w:type="dxa"/>
            <w:vMerge w:val="continue"/>
            <w:tcBorders>
              <w:top w:val="nil"/>
            </w:tcBorders>
            <w:vAlign w:val="center"/>
          </w:tcPr>
          <w:p w14:paraId="6F5C0980">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p>
        </w:tc>
        <w:tc>
          <w:tcPr>
            <w:tcW w:w="3340" w:type="dxa"/>
            <w:vAlign w:val="center"/>
          </w:tcPr>
          <w:p w14:paraId="22699785">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学业三等奖学金</w:t>
            </w:r>
          </w:p>
        </w:tc>
        <w:tc>
          <w:tcPr>
            <w:tcW w:w="3125" w:type="dxa"/>
            <w:vAlign w:val="center"/>
          </w:tcPr>
          <w:p w14:paraId="2FDF92D6">
            <w:pPr>
              <w:pStyle w:val="8"/>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default"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3000</w:t>
            </w:r>
          </w:p>
        </w:tc>
      </w:tr>
    </w:tbl>
    <w:p w14:paraId="12C4A1A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三、新生奖学金</w:t>
      </w:r>
    </w:p>
    <w:p w14:paraId="1309616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（一）</w:t>
      </w:r>
      <w:r>
        <w:rPr>
          <w:rFonts w:hint="default" w:ascii="宋体" w:hAnsi="宋体" w:cs="宋体"/>
          <w:color w:val="auto"/>
          <w:kern w:val="0"/>
          <w:sz w:val="24"/>
          <w:lang w:val="en-US" w:eastAsia="zh-CN"/>
        </w:rPr>
        <w:t>参评条件</w:t>
      </w:r>
    </w:p>
    <w:p w14:paraId="530D22D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lang w:val="en-US" w:eastAsia="zh-CN"/>
        </w:rPr>
      </w:pPr>
      <w:r>
        <w:rPr>
          <w:rFonts w:hint="default" w:ascii="宋体" w:hAnsi="宋体" w:cs="宋体"/>
          <w:color w:val="auto"/>
          <w:kern w:val="0"/>
          <w:sz w:val="24"/>
          <w:lang w:val="en-US" w:eastAsia="zh-CN"/>
        </w:rPr>
        <w:t>1.符合评定基本条件的在读一年级博士研究生</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含直博生</w:t>
      </w:r>
      <w:r>
        <w:rPr>
          <w:rFonts w:hint="eastAsia" w:ascii="宋体" w:hAnsi="宋体" w:cs="宋体"/>
          <w:color w:val="auto"/>
          <w:kern w:val="0"/>
          <w:sz w:val="24"/>
          <w:lang w:val="en-US" w:eastAsia="zh-CN"/>
        </w:rPr>
        <w:t>）；</w:t>
      </w:r>
    </w:p>
    <w:p w14:paraId="1564ACA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2.除各类专项计划</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农村学校教育硕士师资培养计划、支教团推免计划、退役大学生计划等</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外被西北师范大学录取的普通推免研究生</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含“本硕一体化”卓越中学教师培养专项计划、基础学科拔尖学生培养基地班等</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w:t>
      </w:r>
    </w:p>
    <w:p w14:paraId="2A24A3B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（二）</w:t>
      </w:r>
      <w:r>
        <w:rPr>
          <w:rFonts w:hint="default" w:ascii="宋体" w:hAnsi="宋体" w:cs="宋体"/>
          <w:color w:val="auto"/>
          <w:kern w:val="0"/>
          <w:sz w:val="24"/>
          <w:lang w:val="en-US" w:eastAsia="zh-CN"/>
        </w:rPr>
        <w:t>名额分配</w:t>
      </w:r>
    </w:p>
    <w:p w14:paraId="7205044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根据当年实际情况进行评定。</w:t>
      </w:r>
    </w:p>
    <w:p w14:paraId="1BB889C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（三）</w:t>
      </w:r>
      <w:r>
        <w:rPr>
          <w:rFonts w:hint="default" w:ascii="宋体" w:hAnsi="宋体" w:cs="宋体"/>
          <w:color w:val="auto"/>
          <w:kern w:val="0"/>
          <w:sz w:val="24"/>
          <w:lang w:val="en-US" w:eastAsia="zh-CN"/>
        </w:rPr>
        <w:t>奖励标准</w:t>
      </w:r>
    </w:p>
    <w:p w14:paraId="6F07F75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博士研究生每生8000元，硕士研究生每生4000元。</w:t>
      </w:r>
    </w:p>
    <w:p w14:paraId="6A63FDD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四、木铎升学奖</w:t>
      </w:r>
    </w:p>
    <w:p w14:paraId="60EB24F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学校设立木铎升学奖，专门奖励我校普通全日制应届本科毕业生第一志愿报考西北师范大学，并被成功录取的一年级硕士研究生。奖励金于注册报到后发放，奖励金额4000元。</w:t>
      </w:r>
    </w:p>
    <w:p w14:paraId="485E917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五、其他奖学金</w:t>
      </w:r>
    </w:p>
    <w:p w14:paraId="1E93083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default" w:ascii="宋体" w:hAnsi="宋体" w:cs="宋体"/>
          <w:color w:val="auto"/>
          <w:kern w:val="0"/>
          <w:sz w:val="24"/>
          <w:lang w:val="en-US" w:eastAsia="zh-CN"/>
        </w:rPr>
        <w:t>由党委学生工作部依据有关机构或个人实际需要设置专项奖学金，并根据评定办法进行评选</w:t>
      </w:r>
      <w:r>
        <w:rPr>
          <w:rFonts w:hint="eastAsia" w:ascii="宋体" w:hAnsi="宋体" w:cs="宋体"/>
          <w:color w:val="auto"/>
          <w:kern w:val="0"/>
          <w:sz w:val="24"/>
          <w:lang w:val="en-US" w:eastAsia="zh-CN"/>
        </w:rPr>
        <w:t>；</w:t>
      </w:r>
      <w:r>
        <w:rPr>
          <w:rFonts w:hint="default" w:ascii="宋体" w:hAnsi="宋体" w:cs="宋体"/>
          <w:color w:val="auto"/>
          <w:kern w:val="0"/>
          <w:sz w:val="24"/>
          <w:lang w:val="en-US" w:eastAsia="zh-CN"/>
        </w:rPr>
        <w:t>面向指定学院的奖学金由学院依据评定办法进行评选。</w:t>
      </w:r>
    </w:p>
    <w:p w14:paraId="7E9754DA">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第</w:t>
      </w:r>
      <w:r>
        <w:rPr>
          <w:rFonts w:hint="eastAsia" w:ascii="宋体" w:hAnsi="宋体" w:cs="宋体"/>
          <w:b/>
          <w:color w:val="auto"/>
          <w:kern w:val="0"/>
          <w:sz w:val="28"/>
          <w:szCs w:val="28"/>
          <w:lang w:val="en-US" w:eastAsia="zh-CN"/>
        </w:rPr>
        <w:t>五</w:t>
      </w:r>
      <w:r>
        <w:rPr>
          <w:rFonts w:hint="eastAsia" w:ascii="宋体" w:hAnsi="宋体" w:cs="宋体"/>
          <w:b/>
          <w:color w:val="auto"/>
          <w:kern w:val="0"/>
          <w:sz w:val="28"/>
          <w:szCs w:val="28"/>
        </w:rPr>
        <w:t>章 综合奖学金测评</w:t>
      </w:r>
    </w:p>
    <w:p w14:paraId="11B6A8F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color w:val="auto"/>
          <w:kern w:val="0"/>
          <w:sz w:val="24"/>
        </w:rPr>
      </w:pPr>
      <w:r>
        <w:rPr>
          <w:rFonts w:hint="eastAsia" w:ascii="宋体" w:hAnsi="宋体" w:cs="宋体"/>
          <w:b/>
          <w:color w:val="auto"/>
          <w:kern w:val="0"/>
          <w:sz w:val="28"/>
          <w:szCs w:val="28"/>
        </w:rPr>
        <w:t>第十条</w:t>
      </w:r>
      <w:r>
        <w:rPr>
          <w:rFonts w:hint="eastAsia" w:ascii="宋体" w:hAnsi="宋体" w:cs="宋体"/>
          <w:b/>
          <w:color w:val="auto"/>
          <w:kern w:val="0"/>
          <w:sz w:val="24"/>
        </w:rPr>
        <w:t xml:space="preserve">  </w:t>
      </w:r>
      <w:r>
        <w:rPr>
          <w:rFonts w:hint="eastAsia" w:ascii="宋体" w:hAnsi="宋体" w:cs="宋体"/>
          <w:color w:val="auto"/>
          <w:kern w:val="0"/>
          <w:sz w:val="24"/>
        </w:rPr>
        <w:t>综合测评原则</w:t>
      </w:r>
    </w:p>
    <w:p w14:paraId="50F0BD5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（一）综合测评采用百分比量化指标体系，其中</w:t>
      </w:r>
      <w:r>
        <w:rPr>
          <w:rFonts w:hint="eastAsia" w:ascii="宋体" w:hAnsi="宋体" w:cs="宋体"/>
          <w:color w:val="auto"/>
          <w:kern w:val="0"/>
          <w:sz w:val="24"/>
          <w:lang w:val="en-US" w:eastAsia="zh-CN"/>
        </w:rPr>
        <w:t>德育</w:t>
      </w:r>
      <w:r>
        <w:rPr>
          <w:rFonts w:hint="eastAsia" w:ascii="宋体" w:hAnsi="宋体" w:cs="宋体"/>
          <w:color w:val="auto"/>
          <w:kern w:val="0"/>
          <w:sz w:val="24"/>
        </w:rPr>
        <w:t>成绩占</w:t>
      </w:r>
      <w:r>
        <w:rPr>
          <w:rFonts w:hint="eastAsia" w:ascii="宋体" w:hAnsi="宋体" w:cs="宋体"/>
          <w:color w:val="auto"/>
          <w:kern w:val="0"/>
          <w:sz w:val="24"/>
          <w:lang w:val="en-US" w:eastAsia="zh-CN"/>
        </w:rPr>
        <w:t>10</w:t>
      </w:r>
      <w:r>
        <w:rPr>
          <w:rFonts w:hint="eastAsia" w:ascii="宋体" w:hAnsi="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智育成绩</w:t>
      </w:r>
      <w:r>
        <w:rPr>
          <w:rFonts w:hint="eastAsia" w:ascii="宋体" w:hAnsi="宋体" w:cs="宋体"/>
          <w:color w:val="auto"/>
          <w:kern w:val="0"/>
          <w:sz w:val="24"/>
        </w:rPr>
        <w:t>占</w:t>
      </w:r>
      <w:r>
        <w:rPr>
          <w:rFonts w:hint="eastAsia" w:ascii="宋体" w:hAnsi="宋体" w:cs="宋体"/>
          <w:color w:val="auto"/>
          <w:kern w:val="0"/>
          <w:sz w:val="24"/>
          <w:lang w:val="en-US" w:eastAsia="zh-CN"/>
        </w:rPr>
        <w:t>75</w:t>
      </w:r>
      <w:r>
        <w:rPr>
          <w:rFonts w:hint="eastAsia" w:ascii="宋体" w:hAnsi="宋体" w:cs="宋体"/>
          <w:color w:val="auto"/>
          <w:kern w:val="0"/>
          <w:sz w:val="24"/>
        </w:rPr>
        <w:t>%，综合表现占</w:t>
      </w:r>
      <w:r>
        <w:rPr>
          <w:rFonts w:hint="eastAsia" w:ascii="宋体" w:hAnsi="宋体" w:cs="宋体"/>
          <w:color w:val="auto"/>
          <w:kern w:val="0"/>
          <w:sz w:val="24"/>
          <w:lang w:val="en-US" w:eastAsia="zh-CN"/>
        </w:rPr>
        <w:t>15</w:t>
      </w:r>
      <w:r>
        <w:rPr>
          <w:rFonts w:hint="eastAsia" w:ascii="宋体" w:hAnsi="宋体" w:cs="宋体"/>
          <w:color w:val="auto"/>
          <w:kern w:val="0"/>
          <w:sz w:val="24"/>
        </w:rPr>
        <w:t>%。</w:t>
      </w:r>
    </w:p>
    <w:p w14:paraId="14E2742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（二）按照综合评分进行排名，确定入围人选。</w:t>
      </w:r>
    </w:p>
    <w:p w14:paraId="42BF7D6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（三）总分计算办法为：</w:t>
      </w:r>
    </w:p>
    <w:p w14:paraId="4960BE1C">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rPr>
        <w:t>总分=</w:t>
      </w:r>
      <w:r>
        <w:rPr>
          <w:rFonts w:hint="eastAsia" w:ascii="宋体" w:hAnsi="宋体" w:cs="宋体"/>
          <w:color w:val="auto"/>
          <w:kern w:val="0"/>
          <w:sz w:val="24"/>
          <w:lang w:val="en-US" w:eastAsia="zh-CN"/>
        </w:rPr>
        <w:t>德育成绩</w:t>
      </w:r>
      <w:r>
        <w:rPr>
          <w:rFonts w:hint="eastAsia" w:ascii="宋体" w:hAnsi="宋体" w:cs="宋体"/>
          <w:color w:val="auto"/>
          <w:kern w:val="0"/>
          <w:sz w:val="24"/>
        </w:rPr>
        <w:t>×</w:t>
      </w:r>
      <w:r>
        <w:rPr>
          <w:rFonts w:hint="eastAsia" w:ascii="宋体" w:hAnsi="宋体" w:cs="宋体"/>
          <w:color w:val="auto"/>
          <w:kern w:val="0"/>
          <w:sz w:val="24"/>
          <w:lang w:val="en-US" w:eastAsia="zh-CN"/>
        </w:rPr>
        <w:t>1</w:t>
      </w:r>
      <w:r>
        <w:rPr>
          <w:rFonts w:hint="eastAsia" w:ascii="宋体" w:hAnsi="宋体" w:cs="宋体"/>
          <w:color w:val="auto"/>
          <w:kern w:val="0"/>
          <w:sz w:val="24"/>
        </w:rPr>
        <w:t>0%+</w:t>
      </w:r>
      <w:r>
        <w:rPr>
          <w:rFonts w:hint="eastAsia" w:ascii="宋体" w:hAnsi="宋体" w:cs="宋体"/>
          <w:color w:val="auto"/>
          <w:kern w:val="0"/>
          <w:sz w:val="24"/>
          <w:lang w:val="en-US" w:eastAsia="zh-CN"/>
        </w:rPr>
        <w:t>智育成绩（学业成绩、</w:t>
      </w:r>
      <w:r>
        <w:rPr>
          <w:rFonts w:hint="eastAsia" w:ascii="宋体" w:hAnsi="宋体" w:cs="宋体"/>
          <w:color w:val="auto"/>
          <w:kern w:val="0"/>
          <w:sz w:val="24"/>
        </w:rPr>
        <w:t>论文、课题、参编书目、科研、竞赛获奖，学术活动等</w:t>
      </w:r>
      <w:r>
        <w:rPr>
          <w:rFonts w:hint="eastAsia" w:ascii="宋体" w:hAnsi="宋体" w:cs="宋体"/>
          <w:color w:val="auto"/>
          <w:kern w:val="0"/>
          <w:sz w:val="24"/>
          <w:lang w:val="en-US" w:eastAsia="zh-CN"/>
        </w:rPr>
        <w:t>）</w:t>
      </w:r>
      <w:r>
        <w:rPr>
          <w:rFonts w:hint="eastAsia" w:ascii="宋体" w:hAnsi="宋体" w:cs="宋体"/>
          <w:color w:val="auto"/>
          <w:kern w:val="0"/>
          <w:sz w:val="24"/>
        </w:rPr>
        <w:t>×</w:t>
      </w:r>
      <w:r>
        <w:rPr>
          <w:rFonts w:hint="eastAsia" w:ascii="宋体" w:hAnsi="宋体" w:cs="宋体"/>
          <w:color w:val="auto"/>
          <w:kern w:val="0"/>
          <w:sz w:val="24"/>
          <w:lang w:val="en-US" w:eastAsia="zh-CN"/>
        </w:rPr>
        <w:t>75</w:t>
      </w:r>
      <w:r>
        <w:rPr>
          <w:rFonts w:hint="eastAsia" w:ascii="宋体" w:hAnsi="宋体" w:cs="宋体"/>
          <w:color w:val="auto"/>
          <w:kern w:val="0"/>
          <w:sz w:val="24"/>
        </w:rPr>
        <w:t>%+综合表现加分×</w:t>
      </w:r>
      <w:r>
        <w:rPr>
          <w:rFonts w:hint="eastAsia" w:ascii="宋体" w:hAnsi="宋体" w:cs="宋体"/>
          <w:color w:val="auto"/>
          <w:kern w:val="0"/>
          <w:sz w:val="24"/>
          <w:lang w:val="en-US" w:eastAsia="zh-CN"/>
        </w:rPr>
        <w:t>15</w:t>
      </w:r>
      <w:r>
        <w:rPr>
          <w:rFonts w:hint="eastAsia" w:ascii="宋体" w:hAnsi="宋体" w:cs="宋体"/>
          <w:color w:val="auto"/>
          <w:kern w:val="0"/>
          <w:sz w:val="24"/>
        </w:rPr>
        <w:t>%</w:t>
      </w:r>
      <w:r>
        <w:rPr>
          <w:rFonts w:hint="eastAsia" w:ascii="宋体" w:hAnsi="宋体" w:cs="宋体"/>
          <w:color w:val="auto"/>
          <w:kern w:val="0"/>
          <w:sz w:val="24"/>
          <w:lang w:eastAsia="zh-CN"/>
        </w:rPr>
        <w:t>。</w:t>
      </w:r>
    </w:p>
    <w:p w14:paraId="53187F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auto"/>
          <w:kern w:val="0"/>
          <w:sz w:val="24"/>
          <w:highlight w:val="none"/>
          <w:lang w:val="en-US" w:eastAsia="zh-CN"/>
        </w:rPr>
      </w:pPr>
      <w:r>
        <w:rPr>
          <w:rFonts w:hint="eastAsia" w:ascii="宋体" w:hAnsi="宋体" w:cs="宋体"/>
          <w:b/>
          <w:color w:val="auto"/>
          <w:kern w:val="0"/>
          <w:sz w:val="28"/>
          <w:szCs w:val="28"/>
          <w:lang w:val="en-US" w:eastAsia="zh-CN"/>
        </w:rPr>
        <w:t>第十一条</w:t>
      </w:r>
      <w:r>
        <w:rPr>
          <w:rFonts w:hint="eastAsia" w:ascii="宋体" w:hAnsi="宋体" w:cs="宋体"/>
          <w:color w:val="auto"/>
          <w:kern w:val="0"/>
          <w:sz w:val="24"/>
          <w:highlight w:val="none"/>
          <w:lang w:val="en-US" w:eastAsia="zh-CN"/>
        </w:rPr>
        <w:t xml:space="preserve"> 德育成绩计算方法</w:t>
      </w:r>
    </w:p>
    <w:p w14:paraId="7727650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（一）研究生会活动加分</w:t>
      </w:r>
    </w:p>
    <w:tbl>
      <w:tblPr>
        <w:tblStyle w:val="5"/>
        <w:tblpPr w:leftFromText="180" w:rightFromText="180" w:topFromText="100" w:bottomFromText="100" w:vertAnchor="text" w:horzAnchor="margin" w:tblpXSpec="center" w:tblpY="158"/>
        <w:tblW w:w="7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503"/>
        <w:gridCol w:w="2126"/>
        <w:gridCol w:w="1475"/>
        <w:gridCol w:w="1408"/>
      </w:tblGrid>
      <w:tr w14:paraId="1142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7" w:type="dxa"/>
            <w:tcBorders>
              <w:top w:val="single" w:color="auto" w:sz="4" w:space="0"/>
              <w:left w:val="single" w:color="auto" w:sz="4" w:space="0"/>
              <w:bottom w:val="single" w:color="auto" w:sz="4" w:space="0"/>
              <w:right w:val="single" w:color="auto" w:sz="4" w:space="0"/>
            </w:tcBorders>
            <w:vAlign w:val="center"/>
          </w:tcPr>
          <w:p w14:paraId="645107CD">
            <w:pPr>
              <w:spacing w:line="360" w:lineRule="auto"/>
              <w:jc w:val="center"/>
              <w:rPr>
                <w:rFonts w:ascii="宋体" w:hAnsi="宋体"/>
                <w:color w:val="auto"/>
                <w:kern w:val="0"/>
                <w:szCs w:val="21"/>
              </w:rPr>
            </w:pPr>
            <w:r>
              <w:rPr>
                <w:rFonts w:hint="eastAsia" w:ascii="宋体"/>
                <w:color w:val="auto"/>
                <w:szCs w:val="21"/>
              </w:rPr>
              <w:t>职务</w:t>
            </w:r>
          </w:p>
        </w:tc>
        <w:tc>
          <w:tcPr>
            <w:tcW w:w="1503" w:type="dxa"/>
            <w:tcBorders>
              <w:top w:val="single" w:color="auto" w:sz="4" w:space="0"/>
              <w:left w:val="single" w:color="auto" w:sz="4" w:space="0"/>
              <w:bottom w:val="single" w:color="auto" w:sz="4" w:space="0"/>
              <w:right w:val="single" w:color="auto" w:sz="4" w:space="0"/>
            </w:tcBorders>
            <w:vAlign w:val="center"/>
          </w:tcPr>
          <w:p w14:paraId="1E44F84B">
            <w:pPr>
              <w:spacing w:line="360" w:lineRule="auto"/>
              <w:jc w:val="center"/>
              <w:rPr>
                <w:rFonts w:ascii="宋体" w:hAnsi="宋体"/>
                <w:color w:val="auto"/>
                <w:kern w:val="0"/>
                <w:szCs w:val="21"/>
              </w:rPr>
            </w:pPr>
            <w:r>
              <w:rPr>
                <w:rFonts w:hint="eastAsia" w:ascii="宋体" w:hAnsi="宋体"/>
                <w:color w:val="auto"/>
                <w:kern w:val="0"/>
                <w:szCs w:val="21"/>
              </w:rPr>
              <w:t>校研究生会执行主席</w:t>
            </w:r>
          </w:p>
        </w:tc>
        <w:tc>
          <w:tcPr>
            <w:tcW w:w="2126" w:type="dxa"/>
            <w:tcBorders>
              <w:top w:val="single" w:color="auto" w:sz="4" w:space="0"/>
              <w:left w:val="single" w:color="auto" w:sz="4" w:space="0"/>
              <w:bottom w:val="single" w:color="auto" w:sz="4" w:space="0"/>
              <w:right w:val="single" w:color="auto" w:sz="4" w:space="0"/>
            </w:tcBorders>
            <w:vAlign w:val="center"/>
          </w:tcPr>
          <w:p w14:paraId="14F41685">
            <w:pPr>
              <w:spacing w:line="360" w:lineRule="auto"/>
              <w:jc w:val="center"/>
              <w:rPr>
                <w:rFonts w:ascii="宋体" w:hAnsi="宋体"/>
                <w:color w:val="auto"/>
                <w:kern w:val="0"/>
                <w:szCs w:val="21"/>
              </w:rPr>
            </w:pPr>
            <w:r>
              <w:rPr>
                <w:rFonts w:hint="eastAsia" w:ascii="宋体" w:hAnsi="宋体"/>
                <w:color w:val="auto"/>
                <w:kern w:val="0"/>
                <w:szCs w:val="21"/>
              </w:rPr>
              <w:t>院研究生会执行主席</w:t>
            </w:r>
          </w:p>
        </w:tc>
        <w:tc>
          <w:tcPr>
            <w:tcW w:w="1475" w:type="dxa"/>
            <w:tcBorders>
              <w:top w:val="single" w:color="auto" w:sz="4" w:space="0"/>
              <w:left w:val="single" w:color="auto" w:sz="4" w:space="0"/>
              <w:bottom w:val="single" w:color="auto" w:sz="4" w:space="0"/>
              <w:right w:val="single" w:color="auto" w:sz="4" w:space="0"/>
            </w:tcBorders>
            <w:vAlign w:val="center"/>
          </w:tcPr>
          <w:p w14:paraId="6092879B">
            <w:pPr>
              <w:spacing w:line="360" w:lineRule="auto"/>
              <w:jc w:val="center"/>
              <w:rPr>
                <w:rFonts w:ascii="宋体" w:hAnsi="宋体"/>
                <w:color w:val="auto"/>
                <w:kern w:val="0"/>
                <w:szCs w:val="21"/>
              </w:rPr>
            </w:pPr>
            <w:r>
              <w:rPr>
                <w:rFonts w:hint="eastAsia" w:ascii="宋体" w:hAnsi="宋体"/>
                <w:color w:val="auto"/>
                <w:kern w:val="0"/>
                <w:szCs w:val="21"/>
              </w:rPr>
              <w:t>部门负责人</w:t>
            </w:r>
          </w:p>
        </w:tc>
        <w:tc>
          <w:tcPr>
            <w:tcW w:w="1408" w:type="dxa"/>
            <w:tcBorders>
              <w:top w:val="single" w:color="auto" w:sz="4" w:space="0"/>
              <w:left w:val="single" w:color="auto" w:sz="4" w:space="0"/>
              <w:bottom w:val="single" w:color="auto" w:sz="4" w:space="0"/>
              <w:right w:val="single" w:color="auto" w:sz="4" w:space="0"/>
            </w:tcBorders>
            <w:vAlign w:val="center"/>
          </w:tcPr>
          <w:p w14:paraId="15D73CF8">
            <w:pPr>
              <w:spacing w:line="360" w:lineRule="auto"/>
              <w:jc w:val="center"/>
              <w:rPr>
                <w:rFonts w:ascii="宋体" w:hAnsi="宋体"/>
                <w:color w:val="auto"/>
                <w:kern w:val="0"/>
                <w:szCs w:val="21"/>
              </w:rPr>
            </w:pPr>
            <w:r>
              <w:rPr>
                <w:rFonts w:hint="eastAsia" w:ascii="宋体" w:hAnsi="宋体"/>
                <w:color w:val="auto"/>
                <w:kern w:val="0"/>
                <w:szCs w:val="21"/>
              </w:rPr>
              <w:t>研究生会  干事</w:t>
            </w:r>
          </w:p>
        </w:tc>
      </w:tr>
      <w:tr w14:paraId="2984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7" w:type="dxa"/>
            <w:tcBorders>
              <w:top w:val="single" w:color="auto" w:sz="4" w:space="0"/>
              <w:left w:val="single" w:color="auto" w:sz="4" w:space="0"/>
              <w:bottom w:val="single" w:color="auto" w:sz="4" w:space="0"/>
              <w:right w:val="single" w:color="auto" w:sz="4" w:space="0"/>
            </w:tcBorders>
            <w:vAlign w:val="center"/>
          </w:tcPr>
          <w:p w14:paraId="28167575">
            <w:pPr>
              <w:spacing w:line="360" w:lineRule="auto"/>
              <w:jc w:val="center"/>
              <w:rPr>
                <w:rFonts w:ascii="宋体" w:hAnsi="宋体"/>
                <w:color w:val="auto"/>
                <w:kern w:val="0"/>
                <w:szCs w:val="21"/>
              </w:rPr>
            </w:pPr>
            <w:r>
              <w:rPr>
                <w:rFonts w:hint="eastAsia" w:ascii="宋体" w:hAnsi="宋体"/>
                <w:color w:val="auto"/>
                <w:kern w:val="0"/>
                <w:szCs w:val="21"/>
              </w:rPr>
              <w:t>分值</w:t>
            </w:r>
          </w:p>
        </w:tc>
        <w:tc>
          <w:tcPr>
            <w:tcW w:w="1503" w:type="dxa"/>
            <w:tcBorders>
              <w:top w:val="single" w:color="auto" w:sz="4" w:space="0"/>
              <w:left w:val="single" w:color="auto" w:sz="4" w:space="0"/>
              <w:bottom w:val="single" w:color="auto" w:sz="4" w:space="0"/>
              <w:right w:val="single" w:color="auto" w:sz="4" w:space="0"/>
            </w:tcBorders>
            <w:vAlign w:val="center"/>
          </w:tcPr>
          <w:p w14:paraId="16372B08">
            <w:pPr>
              <w:spacing w:line="360" w:lineRule="auto"/>
              <w:jc w:val="center"/>
              <w:rPr>
                <w:rFonts w:ascii="宋体" w:hAnsi="宋体"/>
                <w:color w:val="auto"/>
                <w:kern w:val="0"/>
                <w:szCs w:val="21"/>
              </w:rPr>
            </w:pPr>
            <w:r>
              <w:rPr>
                <w:rFonts w:hint="eastAsia" w:ascii="宋体" w:hAnsi="宋体"/>
                <w:color w:val="auto"/>
                <w:kern w:val="0"/>
                <w:szCs w:val="21"/>
              </w:rPr>
              <w:t>10-15</w:t>
            </w:r>
          </w:p>
        </w:tc>
        <w:tc>
          <w:tcPr>
            <w:tcW w:w="2126" w:type="dxa"/>
            <w:tcBorders>
              <w:top w:val="single" w:color="auto" w:sz="4" w:space="0"/>
              <w:left w:val="single" w:color="auto" w:sz="4" w:space="0"/>
              <w:bottom w:val="single" w:color="auto" w:sz="4" w:space="0"/>
              <w:right w:val="single" w:color="auto" w:sz="4" w:space="0"/>
            </w:tcBorders>
            <w:vAlign w:val="center"/>
          </w:tcPr>
          <w:p w14:paraId="0CE5002E">
            <w:pPr>
              <w:spacing w:line="360" w:lineRule="auto"/>
              <w:jc w:val="center"/>
              <w:rPr>
                <w:rFonts w:ascii="宋体" w:hAnsi="宋体"/>
                <w:color w:val="auto"/>
                <w:kern w:val="0"/>
                <w:szCs w:val="21"/>
              </w:rPr>
            </w:pPr>
            <w:r>
              <w:rPr>
                <w:rFonts w:hint="eastAsia" w:ascii="宋体" w:hAnsi="宋体"/>
                <w:color w:val="auto"/>
                <w:kern w:val="0"/>
                <w:szCs w:val="21"/>
              </w:rPr>
              <w:t>8-15</w:t>
            </w:r>
          </w:p>
        </w:tc>
        <w:tc>
          <w:tcPr>
            <w:tcW w:w="1475" w:type="dxa"/>
            <w:tcBorders>
              <w:top w:val="single" w:color="auto" w:sz="4" w:space="0"/>
              <w:left w:val="single" w:color="auto" w:sz="4" w:space="0"/>
              <w:bottom w:val="single" w:color="auto" w:sz="4" w:space="0"/>
              <w:right w:val="single" w:color="auto" w:sz="4" w:space="0"/>
            </w:tcBorders>
            <w:vAlign w:val="center"/>
          </w:tcPr>
          <w:p w14:paraId="25461317">
            <w:pPr>
              <w:spacing w:line="360" w:lineRule="auto"/>
              <w:jc w:val="center"/>
              <w:rPr>
                <w:rFonts w:ascii="宋体" w:hAnsi="宋体"/>
                <w:color w:val="auto"/>
                <w:kern w:val="0"/>
                <w:szCs w:val="21"/>
              </w:rPr>
            </w:pPr>
            <w:r>
              <w:rPr>
                <w:rFonts w:hint="eastAsia" w:ascii="宋体" w:hAnsi="宋体"/>
                <w:color w:val="auto"/>
                <w:kern w:val="0"/>
                <w:szCs w:val="21"/>
              </w:rPr>
              <w:t>7-12</w:t>
            </w:r>
          </w:p>
        </w:tc>
        <w:tc>
          <w:tcPr>
            <w:tcW w:w="1408" w:type="dxa"/>
            <w:tcBorders>
              <w:top w:val="single" w:color="auto" w:sz="4" w:space="0"/>
              <w:left w:val="single" w:color="auto" w:sz="4" w:space="0"/>
              <w:bottom w:val="single" w:color="auto" w:sz="4" w:space="0"/>
              <w:right w:val="single" w:color="auto" w:sz="4" w:space="0"/>
            </w:tcBorders>
            <w:vAlign w:val="center"/>
          </w:tcPr>
          <w:p w14:paraId="1242B056">
            <w:pPr>
              <w:spacing w:line="360" w:lineRule="auto"/>
              <w:jc w:val="center"/>
              <w:rPr>
                <w:rFonts w:ascii="宋体" w:hAnsi="宋体"/>
                <w:color w:val="auto"/>
                <w:kern w:val="0"/>
                <w:szCs w:val="21"/>
              </w:rPr>
            </w:pPr>
            <w:r>
              <w:rPr>
                <w:rFonts w:hint="eastAsia" w:ascii="宋体" w:hAnsi="宋体"/>
                <w:color w:val="auto"/>
                <w:kern w:val="0"/>
                <w:szCs w:val="21"/>
              </w:rPr>
              <w:t>5-8</w:t>
            </w:r>
          </w:p>
        </w:tc>
      </w:tr>
    </w:tbl>
    <w:p w14:paraId="0AEB30E6">
      <w:pPr>
        <w:spacing w:line="360" w:lineRule="auto"/>
        <w:ind w:firstLine="480" w:firstLineChars="200"/>
        <w:rPr>
          <w:rFonts w:hint="default" w:ascii="楷体" w:hAnsi="楷体" w:eastAsia="楷体"/>
          <w:color w:val="auto"/>
          <w:sz w:val="24"/>
          <w:lang w:val="en-US" w:eastAsia="zh-CN"/>
        </w:rPr>
      </w:pPr>
      <w:r>
        <w:rPr>
          <w:rFonts w:hint="eastAsia" w:ascii="楷体" w:hAnsi="楷体" w:eastAsia="楷体"/>
          <w:color w:val="auto"/>
          <w:sz w:val="24"/>
        </w:rPr>
        <w:t>研究生会干部及干事任期至少一学年以上，不按任期年限重复累计。研究生会活动加分参照学院党委、学院团委、研究生教务意见与建议，根据实际工作情况对表现突出者按照比例评定。</w:t>
      </w:r>
      <w:r>
        <w:rPr>
          <w:rFonts w:hint="eastAsia" w:ascii="楷体" w:hAnsi="楷体" w:eastAsia="楷体"/>
          <w:color w:val="auto"/>
          <w:sz w:val="24"/>
          <w:lang w:val="en-US" w:eastAsia="zh-CN"/>
        </w:rPr>
        <w:t>学院青马班成员参照研究生会干事的分值加分，由学院团委确定加分值。</w:t>
      </w:r>
    </w:p>
    <w:p w14:paraId="0F88320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（二）党支部委员加分</w:t>
      </w:r>
    </w:p>
    <w:tbl>
      <w:tblPr>
        <w:tblStyle w:val="5"/>
        <w:tblpPr w:leftFromText="180" w:rightFromText="180" w:vertAnchor="text" w:horzAnchor="page" w:tblpX="1852" w:tblpY="113"/>
        <w:tblOverlap w:val="never"/>
        <w:tblW w:w="8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800"/>
        <w:gridCol w:w="1695"/>
        <w:gridCol w:w="1875"/>
        <w:gridCol w:w="1500"/>
      </w:tblGrid>
      <w:tr w14:paraId="1220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63" w:type="dxa"/>
            <w:tcBorders>
              <w:top w:val="single" w:color="auto" w:sz="4" w:space="0"/>
              <w:left w:val="single" w:color="auto" w:sz="4" w:space="0"/>
              <w:bottom w:val="single" w:color="auto" w:sz="4" w:space="0"/>
              <w:right w:val="single" w:color="auto" w:sz="4" w:space="0"/>
            </w:tcBorders>
          </w:tcPr>
          <w:p w14:paraId="73C59A6D">
            <w:pPr>
              <w:spacing w:line="360" w:lineRule="auto"/>
              <w:jc w:val="center"/>
              <w:rPr>
                <w:rFonts w:ascii="宋体"/>
                <w:b/>
                <w:color w:val="auto"/>
                <w:sz w:val="24"/>
              </w:rPr>
            </w:pPr>
            <w:r>
              <w:rPr>
                <w:rFonts w:hint="eastAsia" w:ascii="宋体"/>
                <w:b/>
                <w:color w:val="auto"/>
                <w:sz w:val="24"/>
              </w:rPr>
              <w:t>职务</w:t>
            </w:r>
          </w:p>
        </w:tc>
        <w:tc>
          <w:tcPr>
            <w:tcW w:w="1800" w:type="dxa"/>
            <w:tcBorders>
              <w:top w:val="single" w:color="auto" w:sz="4" w:space="0"/>
              <w:left w:val="single" w:color="auto" w:sz="4" w:space="0"/>
              <w:bottom w:val="single" w:color="auto" w:sz="4" w:space="0"/>
              <w:right w:val="single" w:color="auto" w:sz="4" w:space="0"/>
            </w:tcBorders>
          </w:tcPr>
          <w:p w14:paraId="1F1AF47D">
            <w:pPr>
              <w:spacing w:line="360" w:lineRule="auto"/>
              <w:jc w:val="center"/>
              <w:rPr>
                <w:rFonts w:ascii="宋体"/>
                <w:b/>
                <w:color w:val="auto"/>
                <w:sz w:val="24"/>
              </w:rPr>
            </w:pPr>
            <w:r>
              <w:rPr>
                <w:rFonts w:hint="eastAsia" w:ascii="宋体"/>
                <w:b/>
                <w:color w:val="auto"/>
                <w:sz w:val="24"/>
              </w:rPr>
              <w:t>支部副书记</w:t>
            </w:r>
          </w:p>
        </w:tc>
        <w:tc>
          <w:tcPr>
            <w:tcW w:w="1695" w:type="dxa"/>
            <w:tcBorders>
              <w:top w:val="single" w:color="auto" w:sz="4" w:space="0"/>
              <w:left w:val="single" w:color="auto" w:sz="4" w:space="0"/>
              <w:bottom w:val="single" w:color="auto" w:sz="4" w:space="0"/>
              <w:right w:val="single" w:color="auto" w:sz="4" w:space="0"/>
            </w:tcBorders>
          </w:tcPr>
          <w:p w14:paraId="3470E842">
            <w:pPr>
              <w:spacing w:line="360" w:lineRule="auto"/>
              <w:ind w:firstLine="241" w:firstLineChars="100"/>
              <w:rPr>
                <w:rFonts w:ascii="宋体"/>
                <w:b/>
                <w:color w:val="auto"/>
                <w:sz w:val="24"/>
              </w:rPr>
            </w:pPr>
            <w:r>
              <w:rPr>
                <w:rFonts w:hint="eastAsia" w:ascii="宋体"/>
                <w:b/>
                <w:color w:val="auto"/>
                <w:sz w:val="24"/>
              </w:rPr>
              <w:t>组织委员</w:t>
            </w:r>
          </w:p>
        </w:tc>
        <w:tc>
          <w:tcPr>
            <w:tcW w:w="1875" w:type="dxa"/>
            <w:tcBorders>
              <w:top w:val="single" w:color="auto" w:sz="4" w:space="0"/>
              <w:left w:val="single" w:color="auto" w:sz="4" w:space="0"/>
              <w:bottom w:val="single" w:color="auto" w:sz="4" w:space="0"/>
              <w:right w:val="single" w:color="auto" w:sz="4" w:space="0"/>
            </w:tcBorders>
          </w:tcPr>
          <w:p w14:paraId="0A69C6AC">
            <w:pPr>
              <w:spacing w:line="360" w:lineRule="auto"/>
              <w:ind w:firstLine="482" w:firstLineChars="200"/>
              <w:rPr>
                <w:rFonts w:ascii="宋体"/>
                <w:b/>
                <w:color w:val="auto"/>
                <w:sz w:val="24"/>
              </w:rPr>
            </w:pPr>
            <w:r>
              <w:rPr>
                <w:rFonts w:hint="eastAsia" w:ascii="宋体"/>
                <w:b/>
                <w:color w:val="auto"/>
                <w:sz w:val="24"/>
              </w:rPr>
              <w:t>宣传委员</w:t>
            </w:r>
          </w:p>
        </w:tc>
        <w:tc>
          <w:tcPr>
            <w:tcW w:w="1500" w:type="dxa"/>
            <w:tcBorders>
              <w:top w:val="single" w:color="auto" w:sz="4" w:space="0"/>
              <w:left w:val="single" w:color="auto" w:sz="4" w:space="0"/>
              <w:bottom w:val="single" w:color="auto" w:sz="4" w:space="0"/>
              <w:right w:val="single" w:color="auto" w:sz="4" w:space="0"/>
            </w:tcBorders>
          </w:tcPr>
          <w:p w14:paraId="756E9C60">
            <w:pPr>
              <w:spacing w:line="360" w:lineRule="auto"/>
              <w:ind w:firstLine="241" w:firstLineChars="100"/>
              <w:rPr>
                <w:rFonts w:ascii="宋体"/>
                <w:b/>
                <w:color w:val="auto"/>
                <w:sz w:val="24"/>
              </w:rPr>
            </w:pPr>
            <w:r>
              <w:rPr>
                <w:rFonts w:hint="eastAsia" w:ascii="宋体"/>
                <w:b/>
                <w:color w:val="auto"/>
                <w:sz w:val="24"/>
              </w:rPr>
              <w:t>纪检委员</w:t>
            </w:r>
          </w:p>
        </w:tc>
      </w:tr>
      <w:tr w14:paraId="356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tcPr>
          <w:p w14:paraId="266D48B2">
            <w:pPr>
              <w:spacing w:line="360" w:lineRule="auto"/>
              <w:jc w:val="center"/>
              <w:rPr>
                <w:rFonts w:ascii="宋体" w:hAnsi="宋体"/>
                <w:color w:val="auto"/>
                <w:kern w:val="0"/>
                <w:szCs w:val="21"/>
              </w:rPr>
            </w:pPr>
            <w:r>
              <w:rPr>
                <w:rFonts w:hint="eastAsia" w:ascii="宋体" w:hAnsi="宋体"/>
                <w:color w:val="auto"/>
                <w:kern w:val="0"/>
                <w:szCs w:val="21"/>
              </w:rPr>
              <w:t>分值</w:t>
            </w:r>
          </w:p>
        </w:tc>
        <w:tc>
          <w:tcPr>
            <w:tcW w:w="1800" w:type="dxa"/>
            <w:tcBorders>
              <w:top w:val="single" w:color="auto" w:sz="4" w:space="0"/>
              <w:left w:val="single" w:color="auto" w:sz="4" w:space="0"/>
              <w:bottom w:val="single" w:color="auto" w:sz="4" w:space="0"/>
              <w:right w:val="single" w:color="auto" w:sz="4" w:space="0"/>
            </w:tcBorders>
          </w:tcPr>
          <w:p w14:paraId="05672A91">
            <w:pPr>
              <w:spacing w:line="360" w:lineRule="auto"/>
              <w:jc w:val="center"/>
              <w:rPr>
                <w:rFonts w:ascii="宋体" w:hAnsi="宋体"/>
                <w:color w:val="auto"/>
                <w:kern w:val="0"/>
                <w:szCs w:val="21"/>
              </w:rPr>
            </w:pPr>
            <w:r>
              <w:rPr>
                <w:rFonts w:hint="eastAsia" w:ascii="宋体" w:hAnsi="宋体"/>
                <w:color w:val="auto"/>
                <w:kern w:val="0"/>
                <w:szCs w:val="21"/>
              </w:rPr>
              <w:t>10-15</w:t>
            </w:r>
          </w:p>
        </w:tc>
        <w:tc>
          <w:tcPr>
            <w:tcW w:w="1695" w:type="dxa"/>
            <w:tcBorders>
              <w:top w:val="single" w:color="auto" w:sz="4" w:space="0"/>
              <w:left w:val="single" w:color="auto" w:sz="4" w:space="0"/>
              <w:bottom w:val="single" w:color="auto" w:sz="4" w:space="0"/>
              <w:right w:val="single" w:color="auto" w:sz="4" w:space="0"/>
            </w:tcBorders>
          </w:tcPr>
          <w:p w14:paraId="57E00288">
            <w:pPr>
              <w:spacing w:line="360" w:lineRule="auto"/>
              <w:jc w:val="center"/>
              <w:rPr>
                <w:rFonts w:ascii="宋体" w:hAnsi="宋体"/>
                <w:color w:val="auto"/>
                <w:kern w:val="0"/>
                <w:szCs w:val="21"/>
              </w:rPr>
            </w:pPr>
            <w:r>
              <w:rPr>
                <w:rFonts w:hint="eastAsia" w:ascii="宋体" w:hAnsi="宋体"/>
                <w:color w:val="auto"/>
                <w:kern w:val="0"/>
                <w:szCs w:val="21"/>
              </w:rPr>
              <w:t>5-10</w:t>
            </w:r>
          </w:p>
        </w:tc>
        <w:tc>
          <w:tcPr>
            <w:tcW w:w="1875" w:type="dxa"/>
            <w:tcBorders>
              <w:top w:val="single" w:color="auto" w:sz="4" w:space="0"/>
              <w:left w:val="single" w:color="auto" w:sz="4" w:space="0"/>
              <w:bottom w:val="single" w:color="auto" w:sz="4" w:space="0"/>
              <w:right w:val="single" w:color="auto" w:sz="4" w:space="0"/>
            </w:tcBorders>
          </w:tcPr>
          <w:p w14:paraId="333450B9">
            <w:pPr>
              <w:spacing w:line="360" w:lineRule="auto"/>
              <w:jc w:val="center"/>
              <w:rPr>
                <w:rFonts w:ascii="宋体" w:hAnsi="宋体"/>
                <w:color w:val="auto"/>
                <w:kern w:val="0"/>
                <w:szCs w:val="21"/>
              </w:rPr>
            </w:pPr>
            <w:r>
              <w:rPr>
                <w:rFonts w:hint="eastAsia" w:ascii="宋体" w:hAnsi="宋体"/>
                <w:color w:val="auto"/>
                <w:kern w:val="0"/>
                <w:szCs w:val="21"/>
              </w:rPr>
              <w:t>5-10</w:t>
            </w:r>
          </w:p>
        </w:tc>
        <w:tc>
          <w:tcPr>
            <w:tcW w:w="1500" w:type="dxa"/>
            <w:tcBorders>
              <w:top w:val="single" w:color="auto" w:sz="4" w:space="0"/>
              <w:left w:val="single" w:color="auto" w:sz="4" w:space="0"/>
              <w:bottom w:val="single" w:color="auto" w:sz="4" w:space="0"/>
              <w:right w:val="single" w:color="auto" w:sz="4" w:space="0"/>
            </w:tcBorders>
          </w:tcPr>
          <w:p w14:paraId="1DC04493">
            <w:pPr>
              <w:spacing w:line="360" w:lineRule="auto"/>
              <w:jc w:val="center"/>
              <w:rPr>
                <w:rFonts w:ascii="宋体" w:hAnsi="宋体"/>
                <w:color w:val="auto"/>
                <w:kern w:val="0"/>
                <w:szCs w:val="21"/>
              </w:rPr>
            </w:pPr>
            <w:r>
              <w:rPr>
                <w:rFonts w:hint="eastAsia" w:ascii="宋体" w:hAnsi="宋体"/>
                <w:color w:val="auto"/>
                <w:kern w:val="0"/>
                <w:szCs w:val="21"/>
              </w:rPr>
              <w:t>5-10</w:t>
            </w:r>
          </w:p>
        </w:tc>
      </w:tr>
    </w:tbl>
    <w:p w14:paraId="758C7CB7">
      <w:pPr>
        <w:spacing w:line="360" w:lineRule="auto"/>
        <w:ind w:firstLine="480" w:firstLineChars="200"/>
        <w:rPr>
          <w:rFonts w:ascii="楷体" w:hAnsi="楷体" w:eastAsia="楷体"/>
          <w:color w:val="auto"/>
          <w:sz w:val="24"/>
        </w:rPr>
      </w:pPr>
      <w:r>
        <w:rPr>
          <w:rFonts w:hint="eastAsia" w:ascii="楷体" w:hAnsi="楷体" w:eastAsia="楷体"/>
          <w:color w:val="auto"/>
          <w:sz w:val="24"/>
        </w:rPr>
        <w:t>党支部委员任期至少一学年以上，不按任期年限重复累计。</w:t>
      </w:r>
    </w:p>
    <w:p w14:paraId="15E9F602">
      <w:pPr>
        <w:numPr>
          <w:ilvl w:val="0"/>
          <w:numId w:val="1"/>
        </w:num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班长、学科负责同学加分</w:t>
      </w:r>
    </w:p>
    <w:tbl>
      <w:tblPr>
        <w:tblStyle w:val="5"/>
        <w:tblpPr w:leftFromText="180" w:rightFromText="180" w:vertAnchor="text" w:horzAnchor="page" w:tblpX="2887" w:tblpY="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996"/>
        <w:gridCol w:w="1176"/>
        <w:gridCol w:w="3096"/>
      </w:tblGrid>
      <w:tr w14:paraId="4F88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371838">
            <w:pPr>
              <w:spacing w:line="360" w:lineRule="auto"/>
              <w:jc w:val="center"/>
              <w:rPr>
                <w:rFonts w:ascii="宋体"/>
                <w:b/>
                <w:color w:val="auto"/>
                <w:sz w:val="24"/>
              </w:rPr>
            </w:pPr>
            <w:r>
              <w:rPr>
                <w:rFonts w:hint="eastAsia" w:ascii="宋体"/>
                <w:bCs/>
                <w:color w:val="auto"/>
                <w:sz w:val="24"/>
              </w:rPr>
              <w:t>职务</w:t>
            </w:r>
          </w:p>
        </w:tc>
        <w:tc>
          <w:tcPr>
            <w:tcW w:w="0" w:type="auto"/>
            <w:vAlign w:val="center"/>
          </w:tcPr>
          <w:p w14:paraId="32F24B13">
            <w:pPr>
              <w:spacing w:line="360" w:lineRule="auto"/>
              <w:jc w:val="center"/>
              <w:rPr>
                <w:rFonts w:ascii="宋体"/>
                <w:b/>
                <w:color w:val="auto"/>
                <w:sz w:val="24"/>
              </w:rPr>
            </w:pPr>
            <w:r>
              <w:rPr>
                <w:rFonts w:hint="eastAsia" w:ascii="宋体"/>
                <w:bCs/>
                <w:color w:val="auto"/>
                <w:sz w:val="24"/>
              </w:rPr>
              <w:t>班长</w:t>
            </w:r>
          </w:p>
        </w:tc>
        <w:tc>
          <w:tcPr>
            <w:tcW w:w="0" w:type="auto"/>
            <w:vAlign w:val="center"/>
          </w:tcPr>
          <w:p w14:paraId="60D5EA70">
            <w:pPr>
              <w:spacing w:line="360" w:lineRule="auto"/>
              <w:jc w:val="center"/>
              <w:rPr>
                <w:rFonts w:ascii="宋体"/>
                <w:bCs/>
                <w:color w:val="auto"/>
                <w:sz w:val="24"/>
              </w:rPr>
            </w:pPr>
            <w:r>
              <w:rPr>
                <w:rFonts w:hint="eastAsia" w:ascii="宋体"/>
                <w:bCs/>
                <w:color w:val="auto"/>
                <w:sz w:val="24"/>
              </w:rPr>
              <w:t>团支书、</w:t>
            </w:r>
          </w:p>
          <w:p w14:paraId="5B4D6559">
            <w:pPr>
              <w:spacing w:line="360" w:lineRule="auto"/>
              <w:jc w:val="center"/>
              <w:rPr>
                <w:rFonts w:ascii="宋体"/>
                <w:bCs/>
                <w:color w:val="auto"/>
                <w:sz w:val="24"/>
              </w:rPr>
            </w:pPr>
            <w:r>
              <w:rPr>
                <w:rFonts w:hint="eastAsia" w:ascii="宋体"/>
                <w:bCs/>
                <w:color w:val="auto"/>
                <w:sz w:val="24"/>
              </w:rPr>
              <w:t>心理委员</w:t>
            </w:r>
          </w:p>
        </w:tc>
        <w:tc>
          <w:tcPr>
            <w:tcW w:w="0" w:type="auto"/>
            <w:vAlign w:val="center"/>
          </w:tcPr>
          <w:p w14:paraId="0DD9C54C">
            <w:pPr>
              <w:spacing w:line="360" w:lineRule="auto"/>
              <w:jc w:val="center"/>
              <w:rPr>
                <w:rFonts w:ascii="宋体"/>
                <w:bCs/>
                <w:color w:val="auto"/>
                <w:sz w:val="24"/>
              </w:rPr>
            </w:pPr>
            <w:r>
              <w:rPr>
                <w:rFonts w:hint="eastAsia" w:ascii="宋体"/>
                <w:bCs/>
                <w:color w:val="auto"/>
                <w:sz w:val="24"/>
              </w:rPr>
              <w:t>学科负责同学</w:t>
            </w:r>
          </w:p>
        </w:tc>
      </w:tr>
      <w:tr w14:paraId="7492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3A52AD84">
            <w:pPr>
              <w:spacing w:line="360" w:lineRule="auto"/>
              <w:jc w:val="center"/>
              <w:rPr>
                <w:rFonts w:ascii="宋体"/>
                <w:bCs/>
                <w:color w:val="auto"/>
                <w:sz w:val="24"/>
              </w:rPr>
            </w:pPr>
            <w:r>
              <w:rPr>
                <w:rFonts w:hint="eastAsia" w:ascii="宋体"/>
                <w:bCs/>
                <w:color w:val="auto"/>
                <w:sz w:val="24"/>
              </w:rPr>
              <w:t>分   值</w:t>
            </w:r>
          </w:p>
        </w:tc>
        <w:tc>
          <w:tcPr>
            <w:tcW w:w="0" w:type="auto"/>
            <w:vMerge w:val="restart"/>
            <w:vAlign w:val="center"/>
          </w:tcPr>
          <w:p w14:paraId="5E827C00">
            <w:pPr>
              <w:spacing w:line="360" w:lineRule="auto"/>
              <w:jc w:val="center"/>
              <w:rPr>
                <w:rFonts w:ascii="宋体"/>
                <w:bCs/>
                <w:color w:val="auto"/>
                <w:sz w:val="24"/>
              </w:rPr>
            </w:pPr>
            <w:r>
              <w:rPr>
                <w:rFonts w:hint="eastAsia" w:ascii="宋体"/>
                <w:bCs/>
                <w:color w:val="auto"/>
                <w:sz w:val="24"/>
              </w:rPr>
              <w:t>8-10分</w:t>
            </w:r>
          </w:p>
        </w:tc>
        <w:tc>
          <w:tcPr>
            <w:tcW w:w="0" w:type="auto"/>
            <w:vMerge w:val="restart"/>
            <w:vAlign w:val="center"/>
          </w:tcPr>
          <w:p w14:paraId="5B2CB79A">
            <w:pPr>
              <w:spacing w:line="360" w:lineRule="auto"/>
              <w:ind w:firstLine="240" w:firstLineChars="100"/>
              <w:rPr>
                <w:rFonts w:ascii="宋体"/>
                <w:bCs/>
                <w:color w:val="auto"/>
                <w:sz w:val="24"/>
              </w:rPr>
            </w:pPr>
            <w:r>
              <w:rPr>
                <w:rFonts w:hint="eastAsia" w:ascii="宋体"/>
                <w:bCs/>
                <w:color w:val="auto"/>
                <w:sz w:val="24"/>
              </w:rPr>
              <w:t>6-8分</w:t>
            </w:r>
          </w:p>
        </w:tc>
        <w:tc>
          <w:tcPr>
            <w:tcW w:w="0" w:type="auto"/>
            <w:vAlign w:val="center"/>
          </w:tcPr>
          <w:p w14:paraId="7C05D342">
            <w:pPr>
              <w:spacing w:line="360" w:lineRule="auto"/>
              <w:jc w:val="center"/>
              <w:rPr>
                <w:rFonts w:ascii="宋体"/>
                <w:bCs/>
                <w:color w:val="auto"/>
                <w:sz w:val="24"/>
              </w:rPr>
            </w:pPr>
            <w:r>
              <w:rPr>
                <w:rFonts w:hint="eastAsia" w:ascii="宋体"/>
                <w:bCs/>
                <w:color w:val="auto"/>
                <w:sz w:val="24"/>
              </w:rPr>
              <w:t>本专业人数</w:t>
            </w:r>
            <w:r>
              <w:rPr>
                <w:rFonts w:ascii="宋体"/>
                <w:bCs/>
                <w:color w:val="auto"/>
                <w:sz w:val="24"/>
              </w:rPr>
              <w:t>≤</w:t>
            </w:r>
            <w:r>
              <w:rPr>
                <w:rFonts w:hint="eastAsia" w:ascii="宋体"/>
                <w:bCs/>
                <w:color w:val="auto"/>
                <w:sz w:val="24"/>
              </w:rPr>
              <w:t>5人，2分</w:t>
            </w:r>
          </w:p>
        </w:tc>
      </w:tr>
      <w:tr w14:paraId="7D3A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10335BD">
            <w:pPr>
              <w:spacing w:line="360" w:lineRule="auto"/>
              <w:jc w:val="center"/>
              <w:rPr>
                <w:rFonts w:ascii="宋体"/>
                <w:bCs/>
                <w:color w:val="auto"/>
                <w:sz w:val="24"/>
              </w:rPr>
            </w:pPr>
          </w:p>
        </w:tc>
        <w:tc>
          <w:tcPr>
            <w:tcW w:w="0" w:type="auto"/>
            <w:vMerge w:val="continue"/>
            <w:vAlign w:val="center"/>
          </w:tcPr>
          <w:p w14:paraId="35341B91">
            <w:pPr>
              <w:spacing w:line="360" w:lineRule="auto"/>
              <w:jc w:val="center"/>
              <w:rPr>
                <w:rFonts w:ascii="宋体"/>
                <w:bCs/>
                <w:color w:val="auto"/>
                <w:sz w:val="24"/>
              </w:rPr>
            </w:pPr>
          </w:p>
        </w:tc>
        <w:tc>
          <w:tcPr>
            <w:tcW w:w="0" w:type="auto"/>
            <w:vMerge w:val="continue"/>
            <w:vAlign w:val="center"/>
          </w:tcPr>
          <w:p w14:paraId="33A37030">
            <w:pPr>
              <w:spacing w:line="360" w:lineRule="auto"/>
              <w:jc w:val="center"/>
              <w:rPr>
                <w:rFonts w:ascii="宋体"/>
                <w:bCs/>
                <w:color w:val="auto"/>
                <w:sz w:val="24"/>
              </w:rPr>
            </w:pPr>
          </w:p>
        </w:tc>
        <w:tc>
          <w:tcPr>
            <w:tcW w:w="0" w:type="auto"/>
            <w:vAlign w:val="center"/>
          </w:tcPr>
          <w:p w14:paraId="3EBC7333">
            <w:pPr>
              <w:spacing w:line="360" w:lineRule="auto"/>
              <w:jc w:val="center"/>
              <w:rPr>
                <w:rFonts w:ascii="宋体"/>
                <w:bCs/>
                <w:color w:val="auto"/>
                <w:sz w:val="24"/>
              </w:rPr>
            </w:pPr>
            <w:r>
              <w:rPr>
                <w:rFonts w:hint="eastAsia" w:ascii="宋体"/>
                <w:bCs/>
                <w:color w:val="auto"/>
                <w:sz w:val="24"/>
              </w:rPr>
              <w:t>5&lt;本专业人数</w:t>
            </w:r>
            <w:r>
              <w:rPr>
                <w:rFonts w:ascii="宋体"/>
                <w:bCs/>
                <w:color w:val="auto"/>
                <w:sz w:val="24"/>
              </w:rPr>
              <w:t>≤</w:t>
            </w:r>
            <w:r>
              <w:rPr>
                <w:rFonts w:hint="eastAsia" w:ascii="宋体"/>
                <w:bCs/>
                <w:color w:val="auto"/>
                <w:sz w:val="24"/>
              </w:rPr>
              <w:t>10人，4分</w:t>
            </w:r>
          </w:p>
        </w:tc>
      </w:tr>
      <w:tr w14:paraId="779E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2A0898E">
            <w:pPr>
              <w:spacing w:line="360" w:lineRule="auto"/>
              <w:jc w:val="center"/>
              <w:rPr>
                <w:rFonts w:ascii="宋体"/>
                <w:bCs/>
                <w:color w:val="auto"/>
                <w:sz w:val="24"/>
              </w:rPr>
            </w:pPr>
          </w:p>
        </w:tc>
        <w:tc>
          <w:tcPr>
            <w:tcW w:w="0" w:type="auto"/>
            <w:vMerge w:val="continue"/>
            <w:vAlign w:val="center"/>
          </w:tcPr>
          <w:p w14:paraId="10443BEF">
            <w:pPr>
              <w:spacing w:line="360" w:lineRule="auto"/>
              <w:jc w:val="center"/>
              <w:rPr>
                <w:rFonts w:ascii="宋体"/>
                <w:bCs/>
                <w:color w:val="auto"/>
                <w:sz w:val="24"/>
              </w:rPr>
            </w:pPr>
          </w:p>
        </w:tc>
        <w:tc>
          <w:tcPr>
            <w:tcW w:w="0" w:type="auto"/>
            <w:vMerge w:val="continue"/>
            <w:vAlign w:val="center"/>
          </w:tcPr>
          <w:p w14:paraId="78F91779">
            <w:pPr>
              <w:spacing w:line="360" w:lineRule="auto"/>
              <w:jc w:val="center"/>
              <w:rPr>
                <w:rFonts w:ascii="宋体"/>
                <w:bCs/>
                <w:color w:val="auto"/>
                <w:sz w:val="24"/>
              </w:rPr>
            </w:pPr>
          </w:p>
        </w:tc>
        <w:tc>
          <w:tcPr>
            <w:tcW w:w="0" w:type="auto"/>
            <w:vAlign w:val="center"/>
          </w:tcPr>
          <w:p w14:paraId="03730BDD">
            <w:pPr>
              <w:spacing w:line="360" w:lineRule="auto"/>
              <w:jc w:val="center"/>
              <w:rPr>
                <w:rFonts w:ascii="宋体"/>
                <w:bCs/>
                <w:color w:val="auto"/>
                <w:sz w:val="24"/>
              </w:rPr>
            </w:pPr>
            <w:r>
              <w:rPr>
                <w:rFonts w:hint="eastAsia" w:ascii="宋体"/>
                <w:bCs/>
                <w:color w:val="auto"/>
                <w:sz w:val="24"/>
              </w:rPr>
              <w:t>10&lt;本专业人数</w:t>
            </w:r>
            <w:r>
              <w:rPr>
                <w:rFonts w:ascii="宋体"/>
                <w:bCs/>
                <w:color w:val="auto"/>
                <w:sz w:val="24"/>
              </w:rPr>
              <w:t>≤</w:t>
            </w:r>
            <w:r>
              <w:rPr>
                <w:rFonts w:hint="eastAsia" w:ascii="宋体"/>
                <w:bCs/>
                <w:color w:val="auto"/>
                <w:sz w:val="24"/>
              </w:rPr>
              <w:t>20人，6分</w:t>
            </w:r>
          </w:p>
        </w:tc>
      </w:tr>
      <w:tr w14:paraId="18C9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719CBFA">
            <w:pPr>
              <w:spacing w:line="360" w:lineRule="auto"/>
              <w:jc w:val="center"/>
              <w:rPr>
                <w:rFonts w:ascii="宋体"/>
                <w:bCs/>
                <w:color w:val="auto"/>
                <w:sz w:val="24"/>
              </w:rPr>
            </w:pPr>
          </w:p>
        </w:tc>
        <w:tc>
          <w:tcPr>
            <w:tcW w:w="0" w:type="auto"/>
            <w:vMerge w:val="continue"/>
            <w:vAlign w:val="center"/>
          </w:tcPr>
          <w:p w14:paraId="236344C7">
            <w:pPr>
              <w:spacing w:line="360" w:lineRule="auto"/>
              <w:jc w:val="center"/>
              <w:rPr>
                <w:rFonts w:ascii="宋体"/>
                <w:bCs/>
                <w:color w:val="auto"/>
                <w:sz w:val="24"/>
              </w:rPr>
            </w:pPr>
          </w:p>
        </w:tc>
        <w:tc>
          <w:tcPr>
            <w:tcW w:w="0" w:type="auto"/>
            <w:vMerge w:val="continue"/>
            <w:vAlign w:val="center"/>
          </w:tcPr>
          <w:p w14:paraId="12A28FA5">
            <w:pPr>
              <w:spacing w:line="360" w:lineRule="auto"/>
              <w:jc w:val="center"/>
              <w:rPr>
                <w:rFonts w:ascii="宋体"/>
                <w:bCs/>
                <w:color w:val="auto"/>
                <w:sz w:val="24"/>
              </w:rPr>
            </w:pPr>
          </w:p>
        </w:tc>
        <w:tc>
          <w:tcPr>
            <w:tcW w:w="0" w:type="auto"/>
            <w:vAlign w:val="center"/>
          </w:tcPr>
          <w:p w14:paraId="58862316">
            <w:pPr>
              <w:spacing w:line="360" w:lineRule="auto"/>
              <w:jc w:val="center"/>
              <w:rPr>
                <w:rFonts w:ascii="宋体"/>
                <w:bCs/>
                <w:color w:val="auto"/>
                <w:sz w:val="24"/>
              </w:rPr>
            </w:pPr>
            <w:r>
              <w:rPr>
                <w:rFonts w:hint="eastAsia" w:ascii="宋体"/>
                <w:bCs/>
                <w:color w:val="auto"/>
                <w:sz w:val="24"/>
              </w:rPr>
              <w:t>本专业人数&gt;20人，8分</w:t>
            </w:r>
          </w:p>
        </w:tc>
      </w:tr>
    </w:tbl>
    <w:p w14:paraId="56139457">
      <w:pPr>
        <w:spacing w:line="360" w:lineRule="auto"/>
        <w:ind w:firstLine="480" w:firstLineChars="200"/>
        <w:rPr>
          <w:rFonts w:ascii="楷体" w:hAnsi="楷体" w:eastAsia="楷体"/>
          <w:color w:val="auto"/>
          <w:sz w:val="24"/>
        </w:rPr>
      </w:pPr>
    </w:p>
    <w:p w14:paraId="171D99E4">
      <w:pPr>
        <w:spacing w:line="360" w:lineRule="auto"/>
        <w:ind w:firstLine="480" w:firstLineChars="200"/>
        <w:rPr>
          <w:rFonts w:hint="eastAsia" w:ascii="楷体" w:hAnsi="楷体" w:eastAsia="楷体"/>
          <w:color w:val="auto"/>
          <w:sz w:val="24"/>
        </w:rPr>
      </w:pPr>
    </w:p>
    <w:p w14:paraId="3B46B96F">
      <w:pPr>
        <w:spacing w:line="360" w:lineRule="auto"/>
        <w:ind w:firstLine="480" w:firstLineChars="200"/>
        <w:rPr>
          <w:rFonts w:hint="eastAsia" w:ascii="楷体" w:hAnsi="楷体" w:eastAsia="楷体"/>
          <w:color w:val="auto"/>
          <w:sz w:val="24"/>
        </w:rPr>
      </w:pPr>
    </w:p>
    <w:p w14:paraId="3FE38F80">
      <w:pPr>
        <w:spacing w:line="360" w:lineRule="auto"/>
        <w:ind w:firstLine="480" w:firstLineChars="200"/>
        <w:rPr>
          <w:rFonts w:hint="eastAsia" w:ascii="楷体" w:hAnsi="楷体" w:eastAsia="楷体"/>
          <w:color w:val="auto"/>
          <w:sz w:val="24"/>
        </w:rPr>
      </w:pPr>
    </w:p>
    <w:p w14:paraId="022E48CB">
      <w:pPr>
        <w:spacing w:line="360" w:lineRule="auto"/>
        <w:ind w:firstLine="480" w:firstLineChars="200"/>
        <w:rPr>
          <w:rFonts w:hint="eastAsia" w:ascii="楷体" w:hAnsi="楷体" w:eastAsia="楷体"/>
          <w:color w:val="auto"/>
          <w:sz w:val="24"/>
        </w:rPr>
      </w:pPr>
    </w:p>
    <w:p w14:paraId="7C0E1464">
      <w:pPr>
        <w:spacing w:line="360" w:lineRule="auto"/>
        <w:ind w:firstLine="480" w:firstLineChars="200"/>
        <w:rPr>
          <w:rFonts w:hint="eastAsia" w:ascii="楷体" w:hAnsi="楷体" w:eastAsia="楷体"/>
          <w:color w:val="auto"/>
          <w:sz w:val="24"/>
        </w:rPr>
      </w:pPr>
    </w:p>
    <w:p w14:paraId="2DD618E5">
      <w:pPr>
        <w:spacing w:line="360" w:lineRule="auto"/>
        <w:ind w:firstLine="480" w:firstLineChars="200"/>
        <w:rPr>
          <w:rFonts w:hint="eastAsia" w:ascii="楷体" w:hAnsi="楷体" w:eastAsia="楷体"/>
          <w:color w:val="auto"/>
          <w:sz w:val="24"/>
        </w:rPr>
      </w:pPr>
    </w:p>
    <w:p w14:paraId="0CC10937">
      <w:pPr>
        <w:spacing w:line="360" w:lineRule="auto"/>
        <w:ind w:firstLine="480" w:firstLineChars="200"/>
        <w:rPr>
          <w:rFonts w:hint="eastAsia" w:ascii="楷体" w:hAnsi="楷体" w:eastAsia="楷体"/>
          <w:color w:val="auto"/>
          <w:sz w:val="24"/>
        </w:rPr>
      </w:pPr>
    </w:p>
    <w:p w14:paraId="739D4A8A">
      <w:pPr>
        <w:spacing w:line="360" w:lineRule="auto"/>
        <w:ind w:firstLine="480" w:firstLineChars="200"/>
        <w:rPr>
          <w:rFonts w:hint="eastAsia" w:ascii="楷体" w:hAnsi="楷体" w:eastAsia="楷体"/>
          <w:color w:val="auto"/>
          <w:sz w:val="24"/>
        </w:rPr>
      </w:pPr>
      <w:r>
        <w:rPr>
          <w:rFonts w:hint="eastAsia" w:ascii="楷体" w:hAnsi="楷体" w:eastAsia="楷体"/>
          <w:color w:val="auto"/>
          <w:sz w:val="24"/>
        </w:rPr>
        <w:t>研究生会、党支部的加分具体由学院党委副书记、党务老师、教务秘书、辅导员按照本人任期内的综合表现进行评定；各年级班长以及各专业学科负责同学的加分具体由学院党委副书记、教务秘书以及辅导员按照本人任期内的综合表现进行评定。班长和学科负责同学任期至少一学年以上，不按任期年限重复累计。班委和学科负责人不重叠加分，择高加分。班委、学科负责人可与研会重叠加分。</w:t>
      </w:r>
    </w:p>
    <w:p w14:paraId="096AB22E">
      <w:pPr>
        <w:numPr>
          <w:ilvl w:val="0"/>
          <w:numId w:val="1"/>
        </w:num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楼长、层长、宿舍长加分</w:t>
      </w:r>
    </w:p>
    <w:p w14:paraId="511D3F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kern w:val="0"/>
          <w:szCs w:val="21"/>
          <w:lang w:val="en-US" w:eastAsia="zh-CN"/>
        </w:rPr>
      </w:pPr>
      <w:r>
        <w:rPr>
          <w:rFonts w:hint="eastAsia" w:ascii="宋体" w:hAnsi="宋体"/>
          <w:color w:val="auto"/>
          <w:kern w:val="0"/>
          <w:szCs w:val="21"/>
          <w:lang w:val="en-US" w:eastAsia="zh-CN"/>
        </w:rPr>
        <w:t>宿舍长每人加2分，层长每人加3分，楼长每人加4分，宿舍长须提供宿舍成员全体签名的本人工作情况说明，层长须提供由所属楼宇楼长签名的本人工作情况说明，楼长须提供由所属楼宇党支部书记签名的本人工作情况说明。</w:t>
      </w:r>
    </w:p>
    <w:p w14:paraId="79E053E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auto"/>
          <w:kern w:val="0"/>
          <w:sz w:val="24"/>
        </w:rPr>
      </w:pPr>
      <w:r>
        <w:rPr>
          <w:rFonts w:hint="eastAsia" w:ascii="宋体" w:hAnsi="宋体" w:cs="宋体"/>
          <w:b/>
          <w:color w:val="auto"/>
          <w:kern w:val="0"/>
          <w:sz w:val="28"/>
          <w:szCs w:val="28"/>
        </w:rPr>
        <w:t>第十</w:t>
      </w:r>
      <w:r>
        <w:rPr>
          <w:rFonts w:hint="eastAsia" w:ascii="宋体" w:hAnsi="宋体" w:cs="宋体"/>
          <w:b/>
          <w:color w:val="auto"/>
          <w:kern w:val="0"/>
          <w:sz w:val="28"/>
          <w:szCs w:val="28"/>
          <w:lang w:val="en-US" w:eastAsia="zh-CN"/>
        </w:rPr>
        <w:t>二</w:t>
      </w:r>
      <w:r>
        <w:rPr>
          <w:rFonts w:hint="eastAsia" w:ascii="宋体" w:hAnsi="宋体" w:cs="宋体"/>
          <w:b/>
          <w:color w:val="auto"/>
          <w:kern w:val="0"/>
          <w:sz w:val="28"/>
          <w:szCs w:val="28"/>
        </w:rPr>
        <w:t>条</w:t>
      </w:r>
      <w:r>
        <w:rPr>
          <w:rFonts w:hint="eastAsia" w:ascii="宋体" w:hAnsi="宋体" w:cs="宋体"/>
          <w:b/>
          <w:color w:val="auto"/>
          <w:kern w:val="0"/>
          <w:sz w:val="24"/>
        </w:rPr>
        <w:t xml:space="preserve">  </w:t>
      </w:r>
      <w:r>
        <w:rPr>
          <w:rFonts w:hint="eastAsia" w:ascii="宋体" w:hAnsi="宋体" w:cs="宋体"/>
          <w:color w:val="auto"/>
          <w:kern w:val="0"/>
          <w:sz w:val="24"/>
          <w:lang w:val="en-US" w:eastAsia="zh-CN"/>
        </w:rPr>
        <w:t>智育</w:t>
      </w:r>
      <w:r>
        <w:rPr>
          <w:rFonts w:hint="eastAsia" w:ascii="宋体" w:hAnsi="宋体" w:cs="宋体"/>
          <w:color w:val="auto"/>
          <w:kern w:val="0"/>
          <w:sz w:val="24"/>
        </w:rPr>
        <w:t>成绩计算方法</w:t>
      </w:r>
    </w:p>
    <w:p w14:paraId="064FF0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一</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学业成绩计算方法</w:t>
      </w:r>
    </w:p>
    <w:tbl>
      <w:tblPr>
        <w:tblStyle w:val="5"/>
        <w:tblpPr w:leftFromText="180" w:rightFromText="180" w:vertAnchor="text" w:horzAnchor="page" w:tblpX="2372" w:tblpY="297"/>
        <w:tblW w:w="0" w:type="auto"/>
        <w:tblInd w:w="0" w:type="dxa"/>
        <w:tblLayout w:type="fixed"/>
        <w:tblCellMar>
          <w:top w:w="0" w:type="dxa"/>
          <w:left w:w="108" w:type="dxa"/>
          <w:bottom w:w="0" w:type="dxa"/>
          <w:right w:w="108" w:type="dxa"/>
        </w:tblCellMar>
      </w:tblPr>
      <w:tblGrid>
        <w:gridCol w:w="1951"/>
        <w:gridCol w:w="290"/>
        <w:gridCol w:w="5097"/>
      </w:tblGrid>
      <w:tr w14:paraId="7D92DDA7">
        <w:tblPrEx>
          <w:tblCellMar>
            <w:top w:w="0" w:type="dxa"/>
            <w:left w:w="108" w:type="dxa"/>
            <w:bottom w:w="0" w:type="dxa"/>
            <w:right w:w="108" w:type="dxa"/>
          </w:tblCellMar>
        </w:tblPrEx>
        <w:tc>
          <w:tcPr>
            <w:tcW w:w="1951" w:type="dxa"/>
            <w:vMerge w:val="restart"/>
            <w:vAlign w:val="center"/>
          </w:tcPr>
          <w:p w14:paraId="10345F18">
            <w:pPr>
              <w:spacing w:line="360" w:lineRule="auto"/>
              <w:jc w:val="right"/>
              <w:rPr>
                <w:rFonts w:ascii="楷体" w:hAnsi="楷体" w:eastAsia="楷体"/>
                <w:color w:val="auto"/>
                <w:sz w:val="24"/>
              </w:rPr>
            </w:pPr>
            <w:r>
              <w:rPr>
                <w:rFonts w:hint="eastAsia" w:ascii="楷体" w:hAnsi="楷体" w:eastAsia="楷体"/>
                <w:color w:val="auto"/>
                <w:sz w:val="24"/>
              </w:rPr>
              <w:t>学业平均成绩</w:t>
            </w:r>
          </w:p>
        </w:tc>
        <w:tc>
          <w:tcPr>
            <w:tcW w:w="290" w:type="dxa"/>
            <w:vMerge w:val="restart"/>
            <w:vAlign w:val="center"/>
          </w:tcPr>
          <w:p w14:paraId="39F1D637">
            <w:pPr>
              <w:spacing w:line="360" w:lineRule="auto"/>
              <w:ind w:left="-105" w:leftChars="-50"/>
              <w:rPr>
                <w:rFonts w:ascii="楷体" w:hAnsi="楷体" w:eastAsia="楷体"/>
                <w:color w:val="auto"/>
                <w:sz w:val="24"/>
              </w:rPr>
            </w:pPr>
            <w:r>
              <w:rPr>
                <w:rFonts w:hint="eastAsia" w:ascii="楷体" w:hAnsi="楷体" w:eastAsia="楷体"/>
                <w:color w:val="auto"/>
                <w:sz w:val="24"/>
              </w:rPr>
              <w:t>＝</w:t>
            </w:r>
          </w:p>
        </w:tc>
        <w:tc>
          <w:tcPr>
            <w:tcW w:w="5097" w:type="dxa"/>
            <w:tcBorders>
              <w:bottom w:val="single" w:color="auto" w:sz="4" w:space="0"/>
            </w:tcBorders>
          </w:tcPr>
          <w:p w14:paraId="2C5B1451">
            <w:pPr>
              <w:spacing w:line="360" w:lineRule="auto"/>
              <w:jc w:val="center"/>
              <w:rPr>
                <w:rFonts w:ascii="楷体" w:hAnsi="楷体" w:eastAsia="楷体"/>
                <w:color w:val="auto"/>
                <w:sz w:val="24"/>
              </w:rPr>
            </w:pPr>
            <w:r>
              <w:rPr>
                <w:rFonts w:hint="eastAsia" w:ascii="楷体" w:hAnsi="楷体" w:eastAsia="楷体"/>
                <w:color w:val="auto"/>
                <w:sz w:val="24"/>
              </w:rPr>
              <w:t>∑（上学年度所学课程成绩×相应课程学分）</w:t>
            </w:r>
          </w:p>
        </w:tc>
      </w:tr>
      <w:tr w14:paraId="69751098">
        <w:tblPrEx>
          <w:tblCellMar>
            <w:top w:w="0" w:type="dxa"/>
            <w:left w:w="108" w:type="dxa"/>
            <w:bottom w:w="0" w:type="dxa"/>
            <w:right w:w="108" w:type="dxa"/>
          </w:tblCellMar>
        </w:tblPrEx>
        <w:trPr>
          <w:trHeight w:val="311" w:hRule="atLeast"/>
        </w:trPr>
        <w:tc>
          <w:tcPr>
            <w:tcW w:w="1951" w:type="dxa"/>
            <w:vMerge w:val="continue"/>
          </w:tcPr>
          <w:p w14:paraId="7DB4BB60">
            <w:pPr>
              <w:spacing w:line="360" w:lineRule="auto"/>
              <w:rPr>
                <w:rFonts w:ascii="楷体" w:hAnsi="楷体" w:eastAsia="楷体"/>
                <w:color w:val="auto"/>
                <w:sz w:val="24"/>
              </w:rPr>
            </w:pPr>
          </w:p>
        </w:tc>
        <w:tc>
          <w:tcPr>
            <w:tcW w:w="290" w:type="dxa"/>
            <w:vMerge w:val="continue"/>
          </w:tcPr>
          <w:p w14:paraId="5C05B77A">
            <w:pPr>
              <w:spacing w:line="360" w:lineRule="auto"/>
              <w:rPr>
                <w:rFonts w:ascii="楷体" w:hAnsi="楷体" w:eastAsia="楷体"/>
                <w:color w:val="auto"/>
                <w:sz w:val="24"/>
              </w:rPr>
            </w:pPr>
          </w:p>
        </w:tc>
        <w:tc>
          <w:tcPr>
            <w:tcW w:w="5097" w:type="dxa"/>
            <w:tcBorders>
              <w:top w:val="single" w:color="auto" w:sz="4" w:space="0"/>
            </w:tcBorders>
          </w:tcPr>
          <w:p w14:paraId="557003C4">
            <w:pPr>
              <w:spacing w:line="360" w:lineRule="auto"/>
              <w:jc w:val="center"/>
              <w:rPr>
                <w:rFonts w:ascii="楷体" w:hAnsi="楷体" w:eastAsia="楷体"/>
                <w:color w:val="auto"/>
                <w:sz w:val="24"/>
              </w:rPr>
            </w:pPr>
            <w:r>
              <w:rPr>
                <w:rFonts w:hint="eastAsia" w:ascii="楷体" w:hAnsi="楷体" w:eastAsia="楷体"/>
                <w:color w:val="auto"/>
                <w:sz w:val="24"/>
              </w:rPr>
              <w:t>上学年度所学课程总学分</w:t>
            </w:r>
          </w:p>
        </w:tc>
      </w:tr>
    </w:tbl>
    <w:p w14:paraId="76414C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学习成绩优异，所有研究生在参评时无不合格科目。学业成绩为上学年度（二年级研究生使用一年级成绩，三年级研究生使用二年级成绩，农村教育硕士研究生使用前三年假期授课成绩）排入课表的所有课程成绩。</w:t>
      </w:r>
    </w:p>
    <w:p w14:paraId="4C23B0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二</w:t>
      </w:r>
      <w:r>
        <w:rPr>
          <w:rFonts w:hint="eastAsia" w:ascii="宋体" w:hAnsi="宋体" w:cs="宋体"/>
          <w:color w:val="auto"/>
          <w:kern w:val="0"/>
          <w:sz w:val="24"/>
          <w:lang w:eastAsia="zh-CN"/>
        </w:rPr>
        <w:t>）</w:t>
      </w:r>
      <w:r>
        <w:rPr>
          <w:rFonts w:hint="eastAsia" w:ascii="宋体" w:hAnsi="宋体" w:cs="宋体"/>
          <w:color w:val="auto"/>
          <w:kern w:val="0"/>
          <w:sz w:val="24"/>
        </w:rPr>
        <w:t>科研业绩计算方法</w:t>
      </w:r>
    </w:p>
    <w:p w14:paraId="0F3B057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论文加分</w:t>
      </w:r>
    </w:p>
    <w:p w14:paraId="52A465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由所发表的论文级别与篇数来确定加分总和。论文第一署名单位必须是西北师范大学。其加分分值见下表：</w:t>
      </w:r>
    </w:p>
    <w:tbl>
      <w:tblPr>
        <w:tblStyle w:val="5"/>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639"/>
        <w:gridCol w:w="1112"/>
        <w:gridCol w:w="1110"/>
        <w:gridCol w:w="1005"/>
        <w:gridCol w:w="1140"/>
        <w:gridCol w:w="1583"/>
      </w:tblGrid>
      <w:tr w14:paraId="7BE9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673" w:type="dxa"/>
            <w:gridSpan w:val="2"/>
            <w:vAlign w:val="center"/>
          </w:tcPr>
          <w:p w14:paraId="66C6E4E0">
            <w:pPr>
              <w:spacing w:line="360" w:lineRule="auto"/>
              <w:jc w:val="center"/>
              <w:rPr>
                <w:rFonts w:ascii="宋体" w:hAnsi="宋体"/>
                <w:color w:val="auto"/>
                <w:kern w:val="0"/>
                <w:szCs w:val="21"/>
              </w:rPr>
            </w:pPr>
            <w:r>
              <w:rPr>
                <w:rFonts w:hint="eastAsia" w:ascii="宋体" w:hAnsi="宋体"/>
                <w:color w:val="auto"/>
                <w:kern w:val="0"/>
                <w:szCs w:val="21"/>
              </w:rPr>
              <w:t>论文级别</w:t>
            </w:r>
          </w:p>
        </w:tc>
        <w:tc>
          <w:tcPr>
            <w:tcW w:w="1112" w:type="dxa"/>
            <w:vAlign w:val="center"/>
          </w:tcPr>
          <w:p w14:paraId="38068E93">
            <w:pPr>
              <w:spacing w:line="360" w:lineRule="auto"/>
              <w:jc w:val="center"/>
              <w:rPr>
                <w:rFonts w:ascii="宋体" w:hAnsi="宋体"/>
                <w:color w:val="auto"/>
                <w:kern w:val="0"/>
                <w:szCs w:val="21"/>
              </w:rPr>
            </w:pPr>
            <w:r>
              <w:rPr>
                <w:rFonts w:hint="eastAsia" w:ascii="宋体" w:hAnsi="宋体"/>
                <w:color w:val="auto"/>
                <w:kern w:val="0"/>
                <w:szCs w:val="21"/>
              </w:rPr>
              <w:t>A1类期刊</w:t>
            </w:r>
          </w:p>
        </w:tc>
        <w:tc>
          <w:tcPr>
            <w:tcW w:w="1110" w:type="dxa"/>
            <w:vAlign w:val="center"/>
          </w:tcPr>
          <w:p w14:paraId="68B4E521">
            <w:pPr>
              <w:spacing w:line="360" w:lineRule="auto"/>
              <w:jc w:val="center"/>
              <w:rPr>
                <w:rFonts w:ascii="宋体" w:hAnsi="宋体"/>
                <w:color w:val="auto"/>
                <w:kern w:val="0"/>
                <w:szCs w:val="21"/>
              </w:rPr>
            </w:pPr>
            <w:r>
              <w:rPr>
                <w:rFonts w:hint="eastAsia" w:ascii="宋体" w:hAnsi="宋体"/>
                <w:color w:val="auto"/>
                <w:kern w:val="0"/>
                <w:szCs w:val="21"/>
              </w:rPr>
              <w:t>A2类期刊</w:t>
            </w:r>
          </w:p>
        </w:tc>
        <w:tc>
          <w:tcPr>
            <w:tcW w:w="1005" w:type="dxa"/>
            <w:vAlign w:val="center"/>
          </w:tcPr>
          <w:p w14:paraId="5D58F13D">
            <w:pPr>
              <w:widowControl/>
              <w:spacing w:line="360" w:lineRule="auto"/>
              <w:jc w:val="center"/>
              <w:rPr>
                <w:rFonts w:ascii="宋体" w:hAnsi="宋体"/>
                <w:color w:val="auto"/>
                <w:kern w:val="0"/>
                <w:szCs w:val="21"/>
              </w:rPr>
            </w:pPr>
            <w:r>
              <w:rPr>
                <w:rFonts w:hint="eastAsia" w:ascii="宋体" w:hAnsi="宋体"/>
                <w:color w:val="auto"/>
                <w:kern w:val="0"/>
                <w:szCs w:val="21"/>
              </w:rPr>
              <w:t>B类期刊</w:t>
            </w:r>
          </w:p>
        </w:tc>
        <w:tc>
          <w:tcPr>
            <w:tcW w:w="1140" w:type="dxa"/>
            <w:vAlign w:val="center"/>
          </w:tcPr>
          <w:p w14:paraId="345EE7CD">
            <w:pPr>
              <w:widowControl/>
              <w:spacing w:line="360" w:lineRule="auto"/>
              <w:jc w:val="center"/>
              <w:rPr>
                <w:rFonts w:ascii="宋体" w:hAnsi="宋体"/>
                <w:color w:val="auto"/>
                <w:kern w:val="0"/>
                <w:szCs w:val="21"/>
              </w:rPr>
            </w:pPr>
            <w:r>
              <w:rPr>
                <w:rFonts w:hint="eastAsia" w:ascii="宋体" w:hAnsi="宋体"/>
                <w:color w:val="auto"/>
                <w:kern w:val="0"/>
                <w:szCs w:val="21"/>
              </w:rPr>
              <w:t>C类期刊</w:t>
            </w:r>
          </w:p>
        </w:tc>
        <w:tc>
          <w:tcPr>
            <w:tcW w:w="1583" w:type="dxa"/>
            <w:vAlign w:val="center"/>
          </w:tcPr>
          <w:p w14:paraId="4523D5D8">
            <w:pPr>
              <w:widowControl/>
              <w:spacing w:line="360" w:lineRule="auto"/>
              <w:jc w:val="center"/>
              <w:rPr>
                <w:rFonts w:ascii="宋体" w:hAnsi="宋体"/>
                <w:color w:val="auto"/>
                <w:kern w:val="0"/>
                <w:szCs w:val="21"/>
              </w:rPr>
            </w:pPr>
            <w:r>
              <w:rPr>
                <w:rFonts w:hint="eastAsia" w:ascii="宋体" w:hAnsi="宋体"/>
                <w:color w:val="auto"/>
                <w:kern w:val="0"/>
                <w:szCs w:val="21"/>
              </w:rPr>
              <w:t>D类期刊（教育类省级以上正规期刊）</w:t>
            </w:r>
          </w:p>
        </w:tc>
      </w:tr>
      <w:tr w14:paraId="34E6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673" w:type="dxa"/>
            <w:gridSpan w:val="2"/>
          </w:tcPr>
          <w:p w14:paraId="4EAA52A1">
            <w:pPr>
              <w:spacing w:line="360" w:lineRule="auto"/>
              <w:jc w:val="center"/>
              <w:rPr>
                <w:rFonts w:ascii="宋体" w:hAnsi="宋体"/>
                <w:color w:val="auto"/>
                <w:kern w:val="0"/>
                <w:szCs w:val="21"/>
              </w:rPr>
            </w:pPr>
            <w:r>
              <w:rPr>
                <w:rFonts w:hint="eastAsia" w:ascii="宋体" w:hAnsi="宋体"/>
                <w:color w:val="auto"/>
                <w:kern w:val="0"/>
                <w:szCs w:val="21"/>
              </w:rPr>
              <w:t>独立作者</w:t>
            </w:r>
          </w:p>
        </w:tc>
        <w:tc>
          <w:tcPr>
            <w:tcW w:w="1112" w:type="dxa"/>
            <w:vAlign w:val="center"/>
          </w:tcPr>
          <w:p w14:paraId="0814EA79">
            <w:pPr>
              <w:spacing w:line="360" w:lineRule="auto"/>
              <w:jc w:val="center"/>
              <w:rPr>
                <w:rFonts w:ascii="宋体" w:hAnsi="宋体"/>
                <w:color w:val="auto"/>
                <w:kern w:val="0"/>
                <w:szCs w:val="21"/>
              </w:rPr>
            </w:pPr>
            <w:r>
              <w:rPr>
                <w:rFonts w:hint="eastAsia" w:ascii="宋体" w:hAnsi="宋体"/>
                <w:color w:val="auto"/>
                <w:kern w:val="0"/>
                <w:szCs w:val="21"/>
              </w:rPr>
              <w:t>60</w:t>
            </w:r>
          </w:p>
        </w:tc>
        <w:tc>
          <w:tcPr>
            <w:tcW w:w="1110" w:type="dxa"/>
            <w:vAlign w:val="center"/>
          </w:tcPr>
          <w:p w14:paraId="6710CC47">
            <w:pPr>
              <w:spacing w:line="360" w:lineRule="auto"/>
              <w:jc w:val="center"/>
              <w:rPr>
                <w:rFonts w:ascii="宋体" w:hAnsi="宋体"/>
                <w:color w:val="auto"/>
                <w:kern w:val="0"/>
                <w:szCs w:val="21"/>
              </w:rPr>
            </w:pPr>
            <w:r>
              <w:rPr>
                <w:rFonts w:hint="eastAsia" w:ascii="宋体" w:hAnsi="宋体"/>
                <w:color w:val="auto"/>
                <w:kern w:val="0"/>
                <w:szCs w:val="21"/>
              </w:rPr>
              <w:t>50</w:t>
            </w:r>
          </w:p>
        </w:tc>
        <w:tc>
          <w:tcPr>
            <w:tcW w:w="1005" w:type="dxa"/>
            <w:vAlign w:val="center"/>
          </w:tcPr>
          <w:p w14:paraId="4B086B2C">
            <w:pPr>
              <w:widowControl/>
              <w:spacing w:line="360" w:lineRule="auto"/>
              <w:jc w:val="center"/>
              <w:rPr>
                <w:rFonts w:ascii="宋体" w:hAnsi="宋体"/>
                <w:color w:val="auto"/>
                <w:kern w:val="0"/>
                <w:szCs w:val="21"/>
              </w:rPr>
            </w:pPr>
            <w:r>
              <w:rPr>
                <w:rFonts w:hint="eastAsia" w:ascii="宋体" w:hAnsi="宋体"/>
                <w:color w:val="auto"/>
                <w:kern w:val="0"/>
                <w:szCs w:val="21"/>
              </w:rPr>
              <w:t>30</w:t>
            </w:r>
          </w:p>
        </w:tc>
        <w:tc>
          <w:tcPr>
            <w:tcW w:w="1140" w:type="dxa"/>
            <w:vAlign w:val="center"/>
          </w:tcPr>
          <w:p w14:paraId="1DF6D54B">
            <w:pPr>
              <w:widowControl/>
              <w:spacing w:line="360" w:lineRule="auto"/>
              <w:jc w:val="center"/>
              <w:rPr>
                <w:rFonts w:ascii="宋体" w:hAnsi="宋体"/>
                <w:color w:val="auto"/>
                <w:kern w:val="0"/>
                <w:szCs w:val="21"/>
              </w:rPr>
            </w:pPr>
            <w:r>
              <w:rPr>
                <w:rFonts w:hint="eastAsia" w:ascii="宋体" w:hAnsi="宋体"/>
                <w:color w:val="auto"/>
                <w:kern w:val="0"/>
                <w:szCs w:val="21"/>
              </w:rPr>
              <w:t>20</w:t>
            </w:r>
          </w:p>
        </w:tc>
        <w:tc>
          <w:tcPr>
            <w:tcW w:w="1583" w:type="dxa"/>
            <w:vAlign w:val="center"/>
          </w:tcPr>
          <w:p w14:paraId="21238B95">
            <w:pPr>
              <w:widowControl/>
              <w:spacing w:line="360" w:lineRule="auto"/>
              <w:jc w:val="center"/>
              <w:rPr>
                <w:rFonts w:ascii="宋体" w:hAnsi="宋体"/>
                <w:color w:val="auto"/>
                <w:kern w:val="0"/>
                <w:szCs w:val="21"/>
              </w:rPr>
            </w:pPr>
            <w:r>
              <w:rPr>
                <w:rFonts w:hint="eastAsia" w:ascii="宋体" w:hAnsi="宋体"/>
                <w:color w:val="auto"/>
                <w:kern w:val="0"/>
                <w:szCs w:val="21"/>
              </w:rPr>
              <w:t>10</w:t>
            </w:r>
          </w:p>
        </w:tc>
      </w:tr>
      <w:tr w14:paraId="2F1D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restart"/>
            <w:vAlign w:val="center"/>
          </w:tcPr>
          <w:p w14:paraId="2AD5A37D">
            <w:pPr>
              <w:spacing w:line="360" w:lineRule="auto"/>
              <w:jc w:val="center"/>
              <w:rPr>
                <w:rFonts w:ascii="宋体" w:hAnsi="宋体"/>
                <w:color w:val="auto"/>
                <w:kern w:val="0"/>
                <w:szCs w:val="21"/>
              </w:rPr>
            </w:pPr>
            <w:r>
              <w:rPr>
                <w:rFonts w:hint="eastAsia" w:ascii="宋体" w:hAnsi="宋体"/>
                <w:color w:val="auto"/>
                <w:kern w:val="0"/>
                <w:szCs w:val="21"/>
              </w:rPr>
              <w:t>共有两名作者（不包括导师或导师为第二作者）</w:t>
            </w:r>
          </w:p>
        </w:tc>
        <w:tc>
          <w:tcPr>
            <w:tcW w:w="1639" w:type="dxa"/>
            <w:vAlign w:val="center"/>
          </w:tcPr>
          <w:p w14:paraId="37A392A1">
            <w:pPr>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rPr>
              <w:t>第一作者</w:t>
            </w:r>
            <w:r>
              <w:rPr>
                <w:rFonts w:hint="eastAsia" w:ascii="宋体" w:hAnsi="宋体"/>
                <w:color w:val="auto"/>
                <w:kern w:val="0"/>
                <w:szCs w:val="21"/>
                <w:lang w:eastAsia="zh-CN"/>
              </w:rPr>
              <w:t>（</w:t>
            </w:r>
            <w:r>
              <w:rPr>
                <w:rFonts w:hint="eastAsia" w:ascii="宋体" w:hAnsi="宋体"/>
                <w:color w:val="auto"/>
                <w:kern w:val="0"/>
                <w:szCs w:val="21"/>
                <w:lang w:val="en-US" w:eastAsia="zh-CN"/>
              </w:rPr>
              <w:t>共同第一作者</w:t>
            </w:r>
            <w:r>
              <w:rPr>
                <w:rFonts w:hint="eastAsia" w:ascii="宋体" w:hAnsi="宋体"/>
                <w:color w:val="auto"/>
                <w:kern w:val="0"/>
                <w:szCs w:val="21"/>
                <w:lang w:eastAsia="zh-CN"/>
              </w:rPr>
              <w:t>）</w:t>
            </w:r>
          </w:p>
        </w:tc>
        <w:tc>
          <w:tcPr>
            <w:tcW w:w="1112" w:type="dxa"/>
            <w:vAlign w:val="center"/>
          </w:tcPr>
          <w:p w14:paraId="61D5880E">
            <w:pPr>
              <w:spacing w:line="360" w:lineRule="auto"/>
              <w:jc w:val="center"/>
              <w:rPr>
                <w:rFonts w:ascii="宋体" w:hAnsi="宋体"/>
                <w:color w:val="auto"/>
                <w:kern w:val="0"/>
                <w:szCs w:val="21"/>
              </w:rPr>
            </w:pPr>
            <w:r>
              <w:rPr>
                <w:rFonts w:hint="eastAsia" w:ascii="宋体" w:hAnsi="宋体"/>
                <w:color w:val="auto"/>
                <w:kern w:val="0"/>
                <w:szCs w:val="21"/>
              </w:rPr>
              <w:t>39</w:t>
            </w:r>
          </w:p>
        </w:tc>
        <w:tc>
          <w:tcPr>
            <w:tcW w:w="1110" w:type="dxa"/>
            <w:vAlign w:val="center"/>
          </w:tcPr>
          <w:p w14:paraId="53B7F8D1">
            <w:pPr>
              <w:spacing w:line="360" w:lineRule="auto"/>
              <w:jc w:val="center"/>
              <w:rPr>
                <w:rFonts w:ascii="宋体" w:hAnsi="宋体"/>
                <w:color w:val="auto"/>
                <w:kern w:val="0"/>
                <w:szCs w:val="21"/>
              </w:rPr>
            </w:pPr>
            <w:r>
              <w:rPr>
                <w:rFonts w:hint="eastAsia" w:ascii="宋体" w:hAnsi="宋体"/>
                <w:color w:val="auto"/>
                <w:kern w:val="0"/>
                <w:szCs w:val="21"/>
              </w:rPr>
              <w:t>33</w:t>
            </w:r>
          </w:p>
        </w:tc>
        <w:tc>
          <w:tcPr>
            <w:tcW w:w="1005" w:type="dxa"/>
            <w:vAlign w:val="center"/>
          </w:tcPr>
          <w:p w14:paraId="30446F30">
            <w:pPr>
              <w:widowControl/>
              <w:spacing w:line="360" w:lineRule="auto"/>
              <w:jc w:val="center"/>
              <w:rPr>
                <w:rFonts w:ascii="宋体" w:hAnsi="宋体"/>
                <w:color w:val="auto"/>
                <w:kern w:val="0"/>
                <w:szCs w:val="21"/>
              </w:rPr>
            </w:pPr>
            <w:r>
              <w:rPr>
                <w:rFonts w:hint="eastAsia" w:ascii="宋体" w:hAnsi="宋体"/>
                <w:color w:val="auto"/>
                <w:kern w:val="0"/>
                <w:szCs w:val="21"/>
              </w:rPr>
              <w:t>20</w:t>
            </w:r>
          </w:p>
        </w:tc>
        <w:tc>
          <w:tcPr>
            <w:tcW w:w="1140" w:type="dxa"/>
            <w:vAlign w:val="center"/>
          </w:tcPr>
          <w:p w14:paraId="0F6D9E9B">
            <w:pPr>
              <w:widowControl/>
              <w:spacing w:line="360" w:lineRule="auto"/>
              <w:jc w:val="center"/>
              <w:rPr>
                <w:rFonts w:ascii="宋体" w:hAnsi="宋体"/>
                <w:color w:val="auto"/>
                <w:kern w:val="0"/>
                <w:szCs w:val="21"/>
              </w:rPr>
            </w:pPr>
            <w:r>
              <w:rPr>
                <w:rFonts w:hint="eastAsia" w:ascii="宋体" w:hAnsi="宋体"/>
                <w:color w:val="auto"/>
                <w:kern w:val="0"/>
                <w:szCs w:val="21"/>
              </w:rPr>
              <w:t>14</w:t>
            </w:r>
          </w:p>
        </w:tc>
        <w:tc>
          <w:tcPr>
            <w:tcW w:w="1583" w:type="dxa"/>
            <w:vAlign w:val="center"/>
          </w:tcPr>
          <w:p w14:paraId="24888D81">
            <w:pPr>
              <w:widowControl/>
              <w:spacing w:line="360" w:lineRule="auto"/>
              <w:jc w:val="center"/>
              <w:rPr>
                <w:rFonts w:ascii="宋体" w:hAnsi="宋体"/>
                <w:color w:val="auto"/>
                <w:kern w:val="0"/>
                <w:szCs w:val="21"/>
              </w:rPr>
            </w:pPr>
            <w:r>
              <w:rPr>
                <w:rFonts w:hint="eastAsia" w:ascii="宋体" w:hAnsi="宋体"/>
                <w:color w:val="auto"/>
                <w:kern w:val="0"/>
                <w:szCs w:val="21"/>
              </w:rPr>
              <w:t>7</w:t>
            </w:r>
          </w:p>
        </w:tc>
      </w:tr>
      <w:tr w14:paraId="2A37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continue"/>
            <w:vAlign w:val="center"/>
          </w:tcPr>
          <w:p w14:paraId="4D10FB0D">
            <w:pPr>
              <w:spacing w:line="360" w:lineRule="auto"/>
              <w:jc w:val="center"/>
              <w:rPr>
                <w:rFonts w:ascii="宋体" w:hAnsi="宋体"/>
                <w:color w:val="auto"/>
                <w:kern w:val="0"/>
                <w:szCs w:val="21"/>
              </w:rPr>
            </w:pPr>
          </w:p>
        </w:tc>
        <w:tc>
          <w:tcPr>
            <w:tcW w:w="1639" w:type="dxa"/>
            <w:vAlign w:val="center"/>
          </w:tcPr>
          <w:p w14:paraId="69C1DBBF">
            <w:pPr>
              <w:spacing w:line="360" w:lineRule="auto"/>
              <w:jc w:val="center"/>
              <w:rPr>
                <w:rFonts w:ascii="宋体" w:hAnsi="宋体"/>
                <w:color w:val="auto"/>
                <w:kern w:val="0"/>
                <w:szCs w:val="21"/>
              </w:rPr>
            </w:pPr>
            <w:r>
              <w:rPr>
                <w:rFonts w:hint="eastAsia" w:ascii="宋体" w:hAnsi="宋体"/>
                <w:color w:val="auto"/>
                <w:kern w:val="0"/>
                <w:szCs w:val="21"/>
              </w:rPr>
              <w:t>第二作者</w:t>
            </w:r>
          </w:p>
        </w:tc>
        <w:tc>
          <w:tcPr>
            <w:tcW w:w="1112" w:type="dxa"/>
            <w:vAlign w:val="center"/>
          </w:tcPr>
          <w:p w14:paraId="5FC13D10">
            <w:pPr>
              <w:spacing w:line="360" w:lineRule="auto"/>
              <w:jc w:val="center"/>
              <w:rPr>
                <w:rFonts w:ascii="宋体" w:hAnsi="宋体"/>
                <w:color w:val="auto"/>
                <w:kern w:val="0"/>
                <w:szCs w:val="21"/>
              </w:rPr>
            </w:pPr>
            <w:r>
              <w:rPr>
                <w:rFonts w:hint="eastAsia" w:ascii="宋体" w:hAnsi="宋体"/>
                <w:color w:val="auto"/>
                <w:kern w:val="0"/>
                <w:szCs w:val="21"/>
              </w:rPr>
              <w:t>21</w:t>
            </w:r>
          </w:p>
        </w:tc>
        <w:tc>
          <w:tcPr>
            <w:tcW w:w="1110" w:type="dxa"/>
            <w:vAlign w:val="center"/>
          </w:tcPr>
          <w:p w14:paraId="061EBA37">
            <w:pPr>
              <w:spacing w:line="360" w:lineRule="auto"/>
              <w:jc w:val="center"/>
              <w:rPr>
                <w:rFonts w:ascii="宋体" w:hAnsi="宋体"/>
                <w:color w:val="auto"/>
                <w:kern w:val="0"/>
                <w:szCs w:val="21"/>
              </w:rPr>
            </w:pPr>
            <w:r>
              <w:rPr>
                <w:rFonts w:hint="eastAsia" w:ascii="宋体" w:hAnsi="宋体"/>
                <w:color w:val="auto"/>
                <w:kern w:val="0"/>
                <w:szCs w:val="21"/>
              </w:rPr>
              <w:t>17</w:t>
            </w:r>
          </w:p>
        </w:tc>
        <w:tc>
          <w:tcPr>
            <w:tcW w:w="1005" w:type="dxa"/>
            <w:vAlign w:val="center"/>
          </w:tcPr>
          <w:p w14:paraId="6705B855">
            <w:pPr>
              <w:widowControl/>
              <w:spacing w:line="360" w:lineRule="auto"/>
              <w:jc w:val="center"/>
              <w:rPr>
                <w:rFonts w:ascii="宋体" w:hAnsi="宋体"/>
                <w:color w:val="auto"/>
                <w:kern w:val="0"/>
                <w:szCs w:val="21"/>
              </w:rPr>
            </w:pPr>
            <w:r>
              <w:rPr>
                <w:rFonts w:hint="eastAsia" w:ascii="宋体" w:hAnsi="宋体"/>
                <w:color w:val="auto"/>
                <w:kern w:val="0"/>
                <w:szCs w:val="21"/>
              </w:rPr>
              <w:t>10</w:t>
            </w:r>
          </w:p>
        </w:tc>
        <w:tc>
          <w:tcPr>
            <w:tcW w:w="1140" w:type="dxa"/>
            <w:vAlign w:val="center"/>
          </w:tcPr>
          <w:p w14:paraId="2470061D">
            <w:pPr>
              <w:widowControl/>
              <w:spacing w:line="360" w:lineRule="auto"/>
              <w:jc w:val="center"/>
              <w:rPr>
                <w:rFonts w:ascii="宋体" w:hAnsi="宋体"/>
                <w:color w:val="auto"/>
                <w:kern w:val="0"/>
                <w:szCs w:val="21"/>
              </w:rPr>
            </w:pPr>
            <w:r>
              <w:rPr>
                <w:rFonts w:hint="eastAsia" w:ascii="宋体" w:hAnsi="宋体"/>
                <w:color w:val="auto"/>
                <w:kern w:val="0"/>
                <w:szCs w:val="21"/>
              </w:rPr>
              <w:t>6</w:t>
            </w:r>
          </w:p>
        </w:tc>
        <w:tc>
          <w:tcPr>
            <w:tcW w:w="1583" w:type="dxa"/>
            <w:vAlign w:val="center"/>
          </w:tcPr>
          <w:p w14:paraId="2A7AF1D0">
            <w:pPr>
              <w:widowControl/>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4</w:t>
            </w:r>
          </w:p>
        </w:tc>
      </w:tr>
      <w:tr w14:paraId="1502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restart"/>
            <w:vAlign w:val="center"/>
          </w:tcPr>
          <w:p w14:paraId="3E1929B0">
            <w:pPr>
              <w:spacing w:line="360" w:lineRule="auto"/>
              <w:jc w:val="center"/>
              <w:rPr>
                <w:rFonts w:ascii="宋体" w:hAnsi="宋体"/>
                <w:color w:val="auto"/>
                <w:kern w:val="0"/>
                <w:szCs w:val="21"/>
              </w:rPr>
            </w:pPr>
            <w:r>
              <w:rPr>
                <w:rFonts w:hint="eastAsia" w:ascii="宋体" w:hAnsi="宋体"/>
                <w:color w:val="auto"/>
                <w:kern w:val="0"/>
                <w:szCs w:val="21"/>
              </w:rPr>
              <w:t>与他人合作，</w:t>
            </w:r>
          </w:p>
          <w:p w14:paraId="5175EA8A">
            <w:pPr>
              <w:spacing w:line="360" w:lineRule="auto"/>
              <w:jc w:val="center"/>
              <w:rPr>
                <w:rFonts w:ascii="宋体" w:hAnsi="宋体"/>
                <w:color w:val="auto"/>
                <w:kern w:val="0"/>
                <w:szCs w:val="21"/>
              </w:rPr>
            </w:pPr>
            <w:r>
              <w:rPr>
                <w:rFonts w:hint="eastAsia" w:ascii="宋体" w:hAnsi="宋体"/>
                <w:color w:val="auto"/>
                <w:kern w:val="0"/>
                <w:szCs w:val="21"/>
              </w:rPr>
              <w:t>导师为第一作者</w:t>
            </w:r>
          </w:p>
        </w:tc>
        <w:tc>
          <w:tcPr>
            <w:tcW w:w="1639" w:type="dxa"/>
            <w:vAlign w:val="center"/>
          </w:tcPr>
          <w:p w14:paraId="06E8AE1A">
            <w:pPr>
              <w:spacing w:line="360" w:lineRule="auto"/>
              <w:jc w:val="center"/>
              <w:rPr>
                <w:rFonts w:ascii="宋体" w:hAnsi="宋体"/>
                <w:color w:val="auto"/>
                <w:kern w:val="0"/>
                <w:szCs w:val="21"/>
              </w:rPr>
            </w:pPr>
            <w:r>
              <w:rPr>
                <w:rFonts w:hint="eastAsia" w:ascii="宋体" w:hAnsi="宋体"/>
                <w:color w:val="auto"/>
                <w:kern w:val="0"/>
                <w:szCs w:val="21"/>
              </w:rPr>
              <w:t>第二作者</w:t>
            </w:r>
          </w:p>
        </w:tc>
        <w:tc>
          <w:tcPr>
            <w:tcW w:w="1112" w:type="dxa"/>
            <w:vAlign w:val="center"/>
          </w:tcPr>
          <w:p w14:paraId="7A660493">
            <w:pPr>
              <w:spacing w:line="360" w:lineRule="auto"/>
              <w:jc w:val="center"/>
              <w:rPr>
                <w:rFonts w:ascii="宋体" w:hAnsi="宋体"/>
                <w:color w:val="auto"/>
                <w:kern w:val="0"/>
                <w:szCs w:val="21"/>
              </w:rPr>
            </w:pPr>
            <w:r>
              <w:rPr>
                <w:rFonts w:hint="eastAsia" w:ascii="宋体" w:hAnsi="宋体"/>
                <w:color w:val="auto"/>
                <w:kern w:val="0"/>
                <w:szCs w:val="21"/>
              </w:rPr>
              <w:t>39</w:t>
            </w:r>
          </w:p>
        </w:tc>
        <w:tc>
          <w:tcPr>
            <w:tcW w:w="1110" w:type="dxa"/>
            <w:vAlign w:val="center"/>
          </w:tcPr>
          <w:p w14:paraId="07B4598A">
            <w:pPr>
              <w:spacing w:line="360" w:lineRule="auto"/>
              <w:jc w:val="center"/>
              <w:rPr>
                <w:rFonts w:ascii="宋体" w:hAnsi="宋体"/>
                <w:color w:val="auto"/>
                <w:kern w:val="0"/>
                <w:szCs w:val="21"/>
              </w:rPr>
            </w:pPr>
            <w:r>
              <w:rPr>
                <w:rFonts w:hint="eastAsia" w:ascii="宋体" w:hAnsi="宋体"/>
                <w:color w:val="auto"/>
                <w:kern w:val="0"/>
                <w:szCs w:val="21"/>
              </w:rPr>
              <w:t>33</w:t>
            </w:r>
          </w:p>
        </w:tc>
        <w:tc>
          <w:tcPr>
            <w:tcW w:w="1005" w:type="dxa"/>
            <w:vAlign w:val="center"/>
          </w:tcPr>
          <w:p w14:paraId="339DA92E">
            <w:pPr>
              <w:widowControl/>
              <w:spacing w:line="360" w:lineRule="auto"/>
              <w:jc w:val="center"/>
              <w:rPr>
                <w:rFonts w:ascii="宋体" w:hAnsi="宋体"/>
                <w:color w:val="auto"/>
                <w:kern w:val="0"/>
                <w:szCs w:val="21"/>
              </w:rPr>
            </w:pPr>
            <w:r>
              <w:rPr>
                <w:rFonts w:hint="eastAsia" w:ascii="宋体" w:hAnsi="宋体"/>
                <w:color w:val="auto"/>
                <w:kern w:val="0"/>
                <w:szCs w:val="21"/>
              </w:rPr>
              <w:t>20</w:t>
            </w:r>
          </w:p>
        </w:tc>
        <w:tc>
          <w:tcPr>
            <w:tcW w:w="1140" w:type="dxa"/>
            <w:vAlign w:val="center"/>
          </w:tcPr>
          <w:p w14:paraId="554416D9">
            <w:pPr>
              <w:widowControl/>
              <w:spacing w:line="360" w:lineRule="auto"/>
              <w:jc w:val="center"/>
              <w:rPr>
                <w:rFonts w:ascii="宋体" w:hAnsi="宋体"/>
                <w:color w:val="auto"/>
                <w:kern w:val="0"/>
                <w:szCs w:val="21"/>
              </w:rPr>
            </w:pPr>
            <w:r>
              <w:rPr>
                <w:rFonts w:hint="eastAsia" w:ascii="宋体" w:hAnsi="宋体"/>
                <w:color w:val="auto"/>
                <w:kern w:val="0"/>
                <w:szCs w:val="21"/>
              </w:rPr>
              <w:t>14</w:t>
            </w:r>
          </w:p>
        </w:tc>
        <w:tc>
          <w:tcPr>
            <w:tcW w:w="1583" w:type="dxa"/>
            <w:vAlign w:val="center"/>
          </w:tcPr>
          <w:p w14:paraId="34A59914">
            <w:pPr>
              <w:widowControl/>
              <w:spacing w:line="360" w:lineRule="auto"/>
              <w:jc w:val="center"/>
              <w:rPr>
                <w:rFonts w:ascii="宋体" w:hAnsi="宋体"/>
                <w:color w:val="auto"/>
                <w:kern w:val="0"/>
                <w:szCs w:val="21"/>
              </w:rPr>
            </w:pPr>
            <w:r>
              <w:rPr>
                <w:rFonts w:hint="eastAsia" w:ascii="宋体" w:hAnsi="宋体"/>
                <w:color w:val="auto"/>
                <w:kern w:val="0"/>
                <w:szCs w:val="21"/>
              </w:rPr>
              <w:t>7</w:t>
            </w:r>
          </w:p>
        </w:tc>
      </w:tr>
      <w:tr w14:paraId="1EC0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34" w:type="dxa"/>
            <w:vMerge w:val="continue"/>
            <w:vAlign w:val="center"/>
          </w:tcPr>
          <w:p w14:paraId="24998AEB">
            <w:pPr>
              <w:spacing w:line="360" w:lineRule="auto"/>
              <w:jc w:val="center"/>
              <w:rPr>
                <w:rFonts w:ascii="宋体" w:hAnsi="宋体"/>
                <w:color w:val="auto"/>
                <w:kern w:val="0"/>
                <w:szCs w:val="21"/>
              </w:rPr>
            </w:pPr>
          </w:p>
        </w:tc>
        <w:tc>
          <w:tcPr>
            <w:tcW w:w="1639" w:type="dxa"/>
            <w:vAlign w:val="center"/>
          </w:tcPr>
          <w:p w14:paraId="43C3BC9B">
            <w:pPr>
              <w:spacing w:line="360" w:lineRule="auto"/>
              <w:jc w:val="center"/>
              <w:rPr>
                <w:rFonts w:ascii="宋体" w:hAnsi="宋体"/>
                <w:color w:val="auto"/>
                <w:kern w:val="0"/>
                <w:szCs w:val="21"/>
              </w:rPr>
            </w:pPr>
            <w:r>
              <w:rPr>
                <w:rFonts w:hint="eastAsia" w:ascii="宋体" w:hAnsi="宋体"/>
                <w:color w:val="auto"/>
                <w:kern w:val="0"/>
                <w:szCs w:val="21"/>
              </w:rPr>
              <w:t>第三作者</w:t>
            </w:r>
          </w:p>
        </w:tc>
        <w:tc>
          <w:tcPr>
            <w:tcW w:w="1112" w:type="dxa"/>
            <w:vAlign w:val="center"/>
          </w:tcPr>
          <w:p w14:paraId="06546D98">
            <w:pPr>
              <w:spacing w:line="360" w:lineRule="auto"/>
              <w:jc w:val="center"/>
              <w:rPr>
                <w:rFonts w:ascii="宋体" w:hAnsi="宋体"/>
                <w:color w:val="auto"/>
                <w:kern w:val="0"/>
                <w:szCs w:val="21"/>
              </w:rPr>
            </w:pPr>
            <w:r>
              <w:rPr>
                <w:rFonts w:hint="eastAsia" w:ascii="宋体" w:hAnsi="宋体"/>
                <w:color w:val="auto"/>
                <w:kern w:val="0"/>
                <w:szCs w:val="21"/>
              </w:rPr>
              <w:t>21</w:t>
            </w:r>
          </w:p>
        </w:tc>
        <w:tc>
          <w:tcPr>
            <w:tcW w:w="1110" w:type="dxa"/>
            <w:vAlign w:val="center"/>
          </w:tcPr>
          <w:p w14:paraId="6A85F4B6">
            <w:pPr>
              <w:spacing w:line="360" w:lineRule="auto"/>
              <w:jc w:val="center"/>
              <w:rPr>
                <w:rFonts w:ascii="宋体" w:hAnsi="宋体"/>
                <w:color w:val="auto"/>
                <w:kern w:val="0"/>
                <w:szCs w:val="21"/>
              </w:rPr>
            </w:pPr>
            <w:r>
              <w:rPr>
                <w:rFonts w:hint="eastAsia" w:ascii="宋体" w:hAnsi="宋体"/>
                <w:color w:val="auto"/>
                <w:kern w:val="0"/>
                <w:szCs w:val="21"/>
              </w:rPr>
              <w:t>17</w:t>
            </w:r>
          </w:p>
        </w:tc>
        <w:tc>
          <w:tcPr>
            <w:tcW w:w="1005" w:type="dxa"/>
            <w:vAlign w:val="center"/>
          </w:tcPr>
          <w:p w14:paraId="2DDB9607">
            <w:pPr>
              <w:widowControl/>
              <w:spacing w:line="360" w:lineRule="auto"/>
              <w:jc w:val="center"/>
              <w:rPr>
                <w:rFonts w:ascii="宋体" w:hAnsi="宋体"/>
                <w:color w:val="auto"/>
                <w:kern w:val="0"/>
                <w:szCs w:val="21"/>
              </w:rPr>
            </w:pPr>
            <w:r>
              <w:rPr>
                <w:rFonts w:hint="eastAsia" w:ascii="宋体" w:hAnsi="宋体"/>
                <w:color w:val="auto"/>
                <w:kern w:val="0"/>
                <w:szCs w:val="21"/>
              </w:rPr>
              <w:t>10</w:t>
            </w:r>
          </w:p>
        </w:tc>
        <w:tc>
          <w:tcPr>
            <w:tcW w:w="1140" w:type="dxa"/>
            <w:vAlign w:val="center"/>
          </w:tcPr>
          <w:p w14:paraId="7B28703E">
            <w:pPr>
              <w:widowControl/>
              <w:spacing w:line="360" w:lineRule="auto"/>
              <w:jc w:val="center"/>
              <w:rPr>
                <w:rFonts w:ascii="宋体" w:hAnsi="宋体"/>
                <w:color w:val="auto"/>
                <w:kern w:val="0"/>
                <w:szCs w:val="21"/>
              </w:rPr>
            </w:pPr>
            <w:r>
              <w:rPr>
                <w:rFonts w:hint="eastAsia" w:ascii="宋体" w:hAnsi="宋体"/>
                <w:color w:val="auto"/>
                <w:kern w:val="0"/>
                <w:szCs w:val="21"/>
              </w:rPr>
              <w:t>6</w:t>
            </w:r>
          </w:p>
        </w:tc>
        <w:tc>
          <w:tcPr>
            <w:tcW w:w="1583" w:type="dxa"/>
            <w:vAlign w:val="center"/>
          </w:tcPr>
          <w:p w14:paraId="0E7B94A8">
            <w:pPr>
              <w:widowControl/>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4</w:t>
            </w:r>
          </w:p>
        </w:tc>
      </w:tr>
      <w:tr w14:paraId="2FEC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restart"/>
            <w:vAlign w:val="center"/>
          </w:tcPr>
          <w:p w14:paraId="494505DB">
            <w:pPr>
              <w:spacing w:line="360" w:lineRule="auto"/>
              <w:jc w:val="center"/>
              <w:rPr>
                <w:rFonts w:ascii="宋体" w:hAnsi="宋体"/>
                <w:color w:val="auto"/>
                <w:kern w:val="0"/>
                <w:szCs w:val="21"/>
              </w:rPr>
            </w:pPr>
            <w:r>
              <w:rPr>
                <w:rFonts w:hint="eastAsia" w:ascii="宋体" w:hAnsi="宋体"/>
                <w:color w:val="auto"/>
                <w:kern w:val="0"/>
                <w:szCs w:val="21"/>
              </w:rPr>
              <w:t>共有三名作者（不包括导师，或导师为第二、第三作者）</w:t>
            </w:r>
          </w:p>
        </w:tc>
        <w:tc>
          <w:tcPr>
            <w:tcW w:w="1639" w:type="dxa"/>
            <w:vAlign w:val="center"/>
          </w:tcPr>
          <w:p w14:paraId="44ACE6F0">
            <w:pPr>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rPr>
              <w:t>第一作者</w:t>
            </w:r>
            <w:r>
              <w:rPr>
                <w:rFonts w:hint="eastAsia" w:ascii="宋体" w:hAnsi="宋体"/>
                <w:color w:val="auto"/>
                <w:kern w:val="0"/>
                <w:szCs w:val="21"/>
                <w:lang w:eastAsia="zh-CN"/>
              </w:rPr>
              <w:t>（</w:t>
            </w:r>
            <w:r>
              <w:rPr>
                <w:rFonts w:hint="eastAsia" w:ascii="宋体" w:hAnsi="宋体"/>
                <w:color w:val="auto"/>
                <w:kern w:val="0"/>
                <w:szCs w:val="21"/>
                <w:lang w:val="en-US" w:eastAsia="zh-CN"/>
              </w:rPr>
              <w:t>共同第一作者</w:t>
            </w:r>
            <w:r>
              <w:rPr>
                <w:rFonts w:hint="eastAsia" w:ascii="宋体" w:hAnsi="宋体"/>
                <w:color w:val="auto"/>
                <w:kern w:val="0"/>
                <w:szCs w:val="21"/>
                <w:lang w:eastAsia="zh-CN"/>
              </w:rPr>
              <w:t>）</w:t>
            </w:r>
          </w:p>
        </w:tc>
        <w:tc>
          <w:tcPr>
            <w:tcW w:w="1112" w:type="dxa"/>
            <w:vAlign w:val="center"/>
          </w:tcPr>
          <w:p w14:paraId="0CC8A0DC">
            <w:pPr>
              <w:spacing w:line="360" w:lineRule="auto"/>
              <w:jc w:val="center"/>
              <w:rPr>
                <w:rFonts w:ascii="宋体" w:hAnsi="宋体"/>
                <w:color w:val="auto"/>
                <w:kern w:val="0"/>
                <w:szCs w:val="21"/>
              </w:rPr>
            </w:pPr>
            <w:r>
              <w:rPr>
                <w:rFonts w:hint="eastAsia" w:ascii="宋体" w:hAnsi="宋体"/>
                <w:color w:val="auto"/>
                <w:kern w:val="0"/>
                <w:szCs w:val="21"/>
              </w:rPr>
              <w:t>30</w:t>
            </w:r>
          </w:p>
        </w:tc>
        <w:tc>
          <w:tcPr>
            <w:tcW w:w="1110" w:type="dxa"/>
            <w:vAlign w:val="center"/>
          </w:tcPr>
          <w:p w14:paraId="7C0810AE">
            <w:pPr>
              <w:spacing w:line="360" w:lineRule="auto"/>
              <w:jc w:val="center"/>
              <w:rPr>
                <w:rFonts w:ascii="宋体" w:hAnsi="宋体"/>
                <w:color w:val="auto"/>
                <w:kern w:val="0"/>
                <w:szCs w:val="21"/>
              </w:rPr>
            </w:pPr>
            <w:r>
              <w:rPr>
                <w:rFonts w:hint="eastAsia" w:ascii="宋体" w:hAnsi="宋体"/>
                <w:color w:val="auto"/>
                <w:kern w:val="0"/>
                <w:szCs w:val="21"/>
              </w:rPr>
              <w:t>25</w:t>
            </w:r>
          </w:p>
        </w:tc>
        <w:tc>
          <w:tcPr>
            <w:tcW w:w="1005" w:type="dxa"/>
            <w:vAlign w:val="center"/>
          </w:tcPr>
          <w:p w14:paraId="179BE613">
            <w:pPr>
              <w:widowControl/>
              <w:spacing w:line="360" w:lineRule="auto"/>
              <w:jc w:val="center"/>
              <w:rPr>
                <w:rFonts w:ascii="宋体" w:hAnsi="宋体"/>
                <w:color w:val="auto"/>
                <w:kern w:val="0"/>
                <w:szCs w:val="21"/>
              </w:rPr>
            </w:pPr>
            <w:r>
              <w:rPr>
                <w:rFonts w:hint="eastAsia" w:ascii="宋体" w:hAnsi="宋体"/>
                <w:color w:val="auto"/>
                <w:kern w:val="0"/>
                <w:szCs w:val="21"/>
              </w:rPr>
              <w:t>15</w:t>
            </w:r>
          </w:p>
        </w:tc>
        <w:tc>
          <w:tcPr>
            <w:tcW w:w="1140" w:type="dxa"/>
            <w:vAlign w:val="center"/>
          </w:tcPr>
          <w:p w14:paraId="3637D7B3">
            <w:pPr>
              <w:widowControl/>
              <w:spacing w:line="360" w:lineRule="auto"/>
              <w:jc w:val="center"/>
              <w:rPr>
                <w:rFonts w:ascii="宋体" w:hAnsi="宋体"/>
                <w:color w:val="auto"/>
                <w:kern w:val="0"/>
                <w:szCs w:val="21"/>
              </w:rPr>
            </w:pPr>
            <w:r>
              <w:rPr>
                <w:rFonts w:hint="eastAsia" w:ascii="宋体" w:hAnsi="宋体"/>
                <w:color w:val="auto"/>
                <w:kern w:val="0"/>
                <w:szCs w:val="21"/>
              </w:rPr>
              <w:t>10</w:t>
            </w:r>
          </w:p>
        </w:tc>
        <w:tc>
          <w:tcPr>
            <w:tcW w:w="1583" w:type="dxa"/>
            <w:vAlign w:val="center"/>
          </w:tcPr>
          <w:p w14:paraId="0C71DC37">
            <w:pPr>
              <w:widowControl/>
              <w:spacing w:line="360" w:lineRule="auto"/>
              <w:jc w:val="center"/>
              <w:rPr>
                <w:rFonts w:ascii="宋体" w:hAnsi="宋体"/>
                <w:color w:val="auto"/>
                <w:kern w:val="0"/>
                <w:szCs w:val="21"/>
              </w:rPr>
            </w:pPr>
            <w:r>
              <w:rPr>
                <w:rFonts w:hint="eastAsia" w:ascii="宋体" w:hAnsi="宋体"/>
                <w:color w:val="auto"/>
                <w:kern w:val="0"/>
                <w:szCs w:val="21"/>
              </w:rPr>
              <w:t>5</w:t>
            </w:r>
          </w:p>
        </w:tc>
      </w:tr>
      <w:tr w14:paraId="2766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continue"/>
            <w:vAlign w:val="center"/>
          </w:tcPr>
          <w:p w14:paraId="2812D415">
            <w:pPr>
              <w:spacing w:line="360" w:lineRule="auto"/>
              <w:jc w:val="center"/>
              <w:rPr>
                <w:rFonts w:ascii="宋体" w:hAnsi="宋体"/>
                <w:color w:val="auto"/>
                <w:kern w:val="0"/>
                <w:szCs w:val="21"/>
              </w:rPr>
            </w:pPr>
          </w:p>
        </w:tc>
        <w:tc>
          <w:tcPr>
            <w:tcW w:w="1639" w:type="dxa"/>
            <w:vAlign w:val="center"/>
          </w:tcPr>
          <w:p w14:paraId="757A797E">
            <w:pPr>
              <w:spacing w:line="360" w:lineRule="auto"/>
              <w:jc w:val="center"/>
              <w:rPr>
                <w:rFonts w:ascii="宋体" w:hAnsi="宋体"/>
                <w:color w:val="auto"/>
                <w:kern w:val="0"/>
                <w:szCs w:val="21"/>
              </w:rPr>
            </w:pPr>
            <w:r>
              <w:rPr>
                <w:rFonts w:hint="eastAsia" w:ascii="宋体" w:hAnsi="宋体"/>
                <w:color w:val="auto"/>
                <w:kern w:val="0"/>
                <w:szCs w:val="21"/>
              </w:rPr>
              <w:t>第二作者</w:t>
            </w:r>
          </w:p>
        </w:tc>
        <w:tc>
          <w:tcPr>
            <w:tcW w:w="1112" w:type="dxa"/>
            <w:vAlign w:val="center"/>
          </w:tcPr>
          <w:p w14:paraId="09B128AA">
            <w:pPr>
              <w:spacing w:line="360" w:lineRule="auto"/>
              <w:jc w:val="center"/>
              <w:rPr>
                <w:rFonts w:ascii="宋体" w:hAnsi="宋体"/>
                <w:color w:val="auto"/>
                <w:kern w:val="0"/>
                <w:szCs w:val="21"/>
              </w:rPr>
            </w:pPr>
            <w:r>
              <w:rPr>
                <w:rFonts w:hint="eastAsia" w:ascii="宋体" w:hAnsi="宋体"/>
                <w:color w:val="auto"/>
                <w:kern w:val="0"/>
                <w:szCs w:val="21"/>
              </w:rPr>
              <w:t>18</w:t>
            </w:r>
          </w:p>
        </w:tc>
        <w:tc>
          <w:tcPr>
            <w:tcW w:w="1110" w:type="dxa"/>
            <w:vAlign w:val="center"/>
          </w:tcPr>
          <w:p w14:paraId="1BDD5FC3">
            <w:pPr>
              <w:spacing w:line="360" w:lineRule="auto"/>
              <w:jc w:val="center"/>
              <w:rPr>
                <w:rFonts w:ascii="宋体" w:hAnsi="宋体"/>
                <w:color w:val="auto"/>
                <w:kern w:val="0"/>
                <w:szCs w:val="21"/>
              </w:rPr>
            </w:pPr>
            <w:r>
              <w:rPr>
                <w:rFonts w:hint="eastAsia" w:ascii="宋体" w:hAnsi="宋体"/>
                <w:color w:val="auto"/>
                <w:kern w:val="0"/>
                <w:szCs w:val="21"/>
              </w:rPr>
              <w:t>15</w:t>
            </w:r>
          </w:p>
        </w:tc>
        <w:tc>
          <w:tcPr>
            <w:tcW w:w="1005" w:type="dxa"/>
            <w:vAlign w:val="center"/>
          </w:tcPr>
          <w:p w14:paraId="69ADDFE6">
            <w:pPr>
              <w:widowControl/>
              <w:spacing w:line="360" w:lineRule="auto"/>
              <w:jc w:val="center"/>
              <w:rPr>
                <w:rFonts w:ascii="宋体" w:hAnsi="宋体"/>
                <w:color w:val="auto"/>
                <w:kern w:val="0"/>
                <w:szCs w:val="21"/>
              </w:rPr>
            </w:pPr>
            <w:r>
              <w:rPr>
                <w:rFonts w:hint="eastAsia" w:ascii="宋体" w:hAnsi="宋体"/>
                <w:color w:val="auto"/>
                <w:kern w:val="0"/>
                <w:szCs w:val="21"/>
              </w:rPr>
              <w:t>9</w:t>
            </w:r>
          </w:p>
        </w:tc>
        <w:tc>
          <w:tcPr>
            <w:tcW w:w="1140" w:type="dxa"/>
            <w:vAlign w:val="center"/>
          </w:tcPr>
          <w:p w14:paraId="10CC4071">
            <w:pPr>
              <w:widowControl/>
              <w:spacing w:line="360" w:lineRule="auto"/>
              <w:jc w:val="center"/>
              <w:rPr>
                <w:rFonts w:ascii="宋体" w:hAnsi="宋体"/>
                <w:color w:val="auto"/>
                <w:kern w:val="0"/>
                <w:szCs w:val="21"/>
              </w:rPr>
            </w:pPr>
            <w:r>
              <w:rPr>
                <w:rFonts w:hint="eastAsia" w:ascii="宋体" w:hAnsi="宋体"/>
                <w:color w:val="auto"/>
                <w:kern w:val="0"/>
                <w:szCs w:val="21"/>
              </w:rPr>
              <w:t>6</w:t>
            </w:r>
          </w:p>
        </w:tc>
        <w:tc>
          <w:tcPr>
            <w:tcW w:w="1583" w:type="dxa"/>
            <w:vAlign w:val="center"/>
          </w:tcPr>
          <w:p w14:paraId="567CE092">
            <w:pPr>
              <w:widowControl/>
              <w:spacing w:line="360" w:lineRule="auto"/>
              <w:jc w:val="center"/>
              <w:rPr>
                <w:rFonts w:ascii="宋体" w:hAnsi="宋体"/>
                <w:color w:val="auto"/>
                <w:kern w:val="0"/>
                <w:szCs w:val="21"/>
              </w:rPr>
            </w:pPr>
            <w:r>
              <w:rPr>
                <w:rFonts w:hint="eastAsia" w:ascii="宋体" w:hAnsi="宋体"/>
                <w:color w:val="auto"/>
                <w:kern w:val="0"/>
                <w:szCs w:val="21"/>
              </w:rPr>
              <w:t>3</w:t>
            </w:r>
          </w:p>
        </w:tc>
      </w:tr>
      <w:tr w14:paraId="78DE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34" w:type="dxa"/>
            <w:vMerge w:val="continue"/>
            <w:vAlign w:val="center"/>
          </w:tcPr>
          <w:p w14:paraId="33733837">
            <w:pPr>
              <w:spacing w:line="360" w:lineRule="auto"/>
              <w:jc w:val="center"/>
              <w:rPr>
                <w:rFonts w:ascii="宋体" w:hAnsi="宋体"/>
                <w:color w:val="auto"/>
                <w:kern w:val="0"/>
                <w:szCs w:val="21"/>
              </w:rPr>
            </w:pPr>
          </w:p>
        </w:tc>
        <w:tc>
          <w:tcPr>
            <w:tcW w:w="1639" w:type="dxa"/>
            <w:vAlign w:val="center"/>
          </w:tcPr>
          <w:p w14:paraId="604A38E9">
            <w:pPr>
              <w:spacing w:line="360" w:lineRule="auto"/>
              <w:jc w:val="center"/>
              <w:rPr>
                <w:rFonts w:ascii="宋体" w:hAnsi="宋体"/>
                <w:color w:val="auto"/>
                <w:kern w:val="0"/>
                <w:szCs w:val="21"/>
              </w:rPr>
            </w:pPr>
            <w:r>
              <w:rPr>
                <w:rFonts w:hint="eastAsia" w:ascii="宋体" w:hAnsi="宋体"/>
                <w:color w:val="auto"/>
                <w:kern w:val="0"/>
                <w:szCs w:val="21"/>
              </w:rPr>
              <w:t>第三作者</w:t>
            </w:r>
          </w:p>
        </w:tc>
        <w:tc>
          <w:tcPr>
            <w:tcW w:w="1112" w:type="dxa"/>
            <w:vAlign w:val="center"/>
          </w:tcPr>
          <w:p w14:paraId="618578FF">
            <w:pPr>
              <w:spacing w:line="360" w:lineRule="auto"/>
              <w:jc w:val="center"/>
              <w:rPr>
                <w:rFonts w:ascii="宋体" w:hAnsi="宋体"/>
                <w:color w:val="auto"/>
                <w:kern w:val="0"/>
                <w:szCs w:val="21"/>
              </w:rPr>
            </w:pPr>
            <w:r>
              <w:rPr>
                <w:rFonts w:hint="eastAsia" w:ascii="宋体" w:hAnsi="宋体"/>
                <w:color w:val="auto"/>
                <w:kern w:val="0"/>
                <w:szCs w:val="21"/>
              </w:rPr>
              <w:t>12</w:t>
            </w:r>
          </w:p>
        </w:tc>
        <w:tc>
          <w:tcPr>
            <w:tcW w:w="1110" w:type="dxa"/>
            <w:vAlign w:val="center"/>
          </w:tcPr>
          <w:p w14:paraId="3C93149C">
            <w:pPr>
              <w:spacing w:line="360" w:lineRule="auto"/>
              <w:jc w:val="center"/>
              <w:rPr>
                <w:rFonts w:ascii="宋体" w:hAnsi="宋体"/>
                <w:color w:val="auto"/>
                <w:kern w:val="0"/>
                <w:szCs w:val="21"/>
              </w:rPr>
            </w:pPr>
            <w:r>
              <w:rPr>
                <w:rFonts w:hint="eastAsia" w:ascii="宋体" w:hAnsi="宋体"/>
                <w:color w:val="auto"/>
                <w:kern w:val="0"/>
                <w:szCs w:val="21"/>
              </w:rPr>
              <w:t>10</w:t>
            </w:r>
          </w:p>
        </w:tc>
        <w:tc>
          <w:tcPr>
            <w:tcW w:w="1005" w:type="dxa"/>
            <w:vAlign w:val="center"/>
          </w:tcPr>
          <w:p w14:paraId="767A6C9A">
            <w:pPr>
              <w:widowControl/>
              <w:spacing w:line="360" w:lineRule="auto"/>
              <w:jc w:val="center"/>
              <w:rPr>
                <w:rFonts w:ascii="宋体" w:hAnsi="宋体"/>
                <w:color w:val="auto"/>
                <w:kern w:val="0"/>
                <w:szCs w:val="21"/>
              </w:rPr>
            </w:pPr>
            <w:r>
              <w:rPr>
                <w:rFonts w:hint="eastAsia" w:ascii="宋体" w:hAnsi="宋体"/>
                <w:color w:val="auto"/>
                <w:kern w:val="0"/>
                <w:szCs w:val="21"/>
              </w:rPr>
              <w:t>6</w:t>
            </w:r>
          </w:p>
        </w:tc>
        <w:tc>
          <w:tcPr>
            <w:tcW w:w="1140" w:type="dxa"/>
            <w:vAlign w:val="center"/>
          </w:tcPr>
          <w:p w14:paraId="3AF2F250">
            <w:pPr>
              <w:widowControl/>
              <w:spacing w:line="360" w:lineRule="auto"/>
              <w:jc w:val="center"/>
              <w:rPr>
                <w:rFonts w:ascii="宋体" w:hAnsi="宋体"/>
                <w:color w:val="auto"/>
                <w:kern w:val="0"/>
                <w:szCs w:val="21"/>
              </w:rPr>
            </w:pPr>
            <w:r>
              <w:rPr>
                <w:rFonts w:hint="eastAsia" w:ascii="宋体" w:hAnsi="宋体"/>
                <w:color w:val="auto"/>
                <w:kern w:val="0"/>
                <w:szCs w:val="21"/>
              </w:rPr>
              <w:t>4</w:t>
            </w:r>
          </w:p>
        </w:tc>
        <w:tc>
          <w:tcPr>
            <w:tcW w:w="1583" w:type="dxa"/>
            <w:vAlign w:val="center"/>
          </w:tcPr>
          <w:p w14:paraId="56679094">
            <w:pPr>
              <w:widowControl/>
              <w:spacing w:line="360" w:lineRule="auto"/>
              <w:jc w:val="center"/>
              <w:rPr>
                <w:rFonts w:ascii="宋体" w:hAnsi="宋体"/>
                <w:color w:val="auto"/>
                <w:kern w:val="0"/>
                <w:szCs w:val="21"/>
              </w:rPr>
            </w:pPr>
            <w:r>
              <w:rPr>
                <w:rFonts w:hint="eastAsia" w:ascii="宋体" w:hAnsi="宋体"/>
                <w:color w:val="auto"/>
                <w:kern w:val="0"/>
                <w:szCs w:val="21"/>
              </w:rPr>
              <w:t>2</w:t>
            </w:r>
          </w:p>
        </w:tc>
      </w:tr>
    </w:tbl>
    <w:p w14:paraId="6CCDED46">
      <w:pPr>
        <w:spacing w:line="360" w:lineRule="auto"/>
        <w:ind w:firstLine="480" w:firstLineChars="200"/>
        <w:rPr>
          <w:rFonts w:ascii="楷体" w:hAnsi="楷体" w:eastAsia="楷体"/>
          <w:color w:val="auto"/>
          <w:sz w:val="24"/>
        </w:rPr>
      </w:pPr>
      <w:r>
        <w:rPr>
          <w:rFonts w:hint="eastAsia" w:ascii="楷体" w:hAnsi="楷体" w:eastAsia="楷体"/>
          <w:color w:val="auto"/>
          <w:sz w:val="24"/>
        </w:rPr>
        <w:t>注：论文必须见刊方能作为加分依据。同一论文被不同期刊或不同会议论文集收录时，按最高加分类别加分一次。论文署名单位必须为西北师范大学。发表在增刊上的论文不加分，样刊不加分</w:t>
      </w:r>
      <w:r>
        <w:rPr>
          <w:rFonts w:hint="eastAsia" w:ascii="楷体" w:hAnsi="楷体" w:eastAsia="楷体"/>
          <w:color w:val="auto"/>
          <w:sz w:val="24"/>
          <w:lang w:eastAsia="zh-CN"/>
        </w:rPr>
        <w:t>。</w:t>
      </w:r>
      <w:r>
        <w:rPr>
          <w:rFonts w:hint="eastAsia" w:ascii="楷体" w:hAnsi="楷体" w:eastAsia="楷体"/>
          <w:color w:val="auto"/>
          <w:sz w:val="24"/>
        </w:rPr>
        <w:t>通讯作者不加分，不占作者排名。论文作者若有三名，其中导师排名第一，则第二和第三的研究生分别计独立作者的65%和35%。</w:t>
      </w:r>
    </w:p>
    <w:p w14:paraId="3EC43DDF">
      <w:pPr>
        <w:spacing w:line="360" w:lineRule="auto"/>
        <w:ind w:firstLine="480" w:firstLineChars="200"/>
        <w:rPr>
          <w:rFonts w:ascii="楷体" w:hAnsi="楷体" w:eastAsia="楷体"/>
          <w:color w:val="auto"/>
          <w:sz w:val="24"/>
        </w:rPr>
      </w:pPr>
      <w:r>
        <w:rPr>
          <w:rFonts w:hint="eastAsia" w:ascii="楷体" w:hAnsi="楷体" w:eastAsia="楷体"/>
          <w:color w:val="auto"/>
          <w:sz w:val="24"/>
        </w:rPr>
        <w:t>共有两名作者，不包括导师或导师为第二作者，排名第一和第二的研究生分别计独立作者的65%和35%；</w:t>
      </w:r>
    </w:p>
    <w:p w14:paraId="7224DE0B">
      <w:pPr>
        <w:spacing w:line="360" w:lineRule="auto"/>
        <w:ind w:firstLine="480" w:firstLineChars="200"/>
        <w:rPr>
          <w:rFonts w:ascii="楷体" w:hAnsi="楷体" w:eastAsia="楷体"/>
          <w:color w:val="auto"/>
          <w:sz w:val="24"/>
        </w:rPr>
      </w:pPr>
      <w:r>
        <w:rPr>
          <w:rFonts w:hint="eastAsia" w:ascii="楷体" w:hAnsi="楷体" w:eastAsia="楷体"/>
          <w:color w:val="auto"/>
          <w:sz w:val="24"/>
        </w:rPr>
        <w:t>若有三名作者，导师为非第一作者，排名第一、第二和第三的研究生分别计独立作者的50%、30%和20%。排名第四或以后作者不计分。</w:t>
      </w:r>
    </w:p>
    <w:p w14:paraId="483713C7">
      <w:pPr>
        <w:spacing w:line="360" w:lineRule="auto"/>
        <w:ind w:firstLine="480" w:firstLineChars="200"/>
        <w:rPr>
          <w:rFonts w:ascii="楷体" w:hAnsi="楷体" w:eastAsia="楷体"/>
          <w:color w:val="auto"/>
          <w:sz w:val="24"/>
        </w:rPr>
      </w:pPr>
      <w:r>
        <w:rPr>
          <w:rFonts w:hint="eastAsia" w:ascii="楷体" w:hAnsi="楷体" w:eastAsia="楷体"/>
          <w:color w:val="auto"/>
          <w:sz w:val="24"/>
        </w:rPr>
        <w:t>须提交经导师签字确认后的论文发表期刊封面、目录、论文复印件共三项材料为依据</w:t>
      </w:r>
      <w:r>
        <w:rPr>
          <w:rFonts w:hint="eastAsia" w:ascii="楷体" w:hAnsi="楷体" w:eastAsia="楷体"/>
          <w:color w:val="auto"/>
          <w:sz w:val="24"/>
          <w:lang w:eastAsia="zh-CN"/>
        </w:rPr>
        <w:t>，</w:t>
      </w:r>
      <w:r>
        <w:rPr>
          <w:rFonts w:hint="eastAsia" w:ascii="楷体" w:hAnsi="楷体" w:eastAsia="楷体"/>
          <w:color w:val="auto"/>
          <w:sz w:val="24"/>
          <w:lang w:val="en-US" w:eastAsia="zh-CN"/>
        </w:rPr>
        <w:t>以上材料提交不全不予认定</w:t>
      </w:r>
      <w:r>
        <w:rPr>
          <w:rFonts w:hint="eastAsia" w:ascii="楷体" w:hAnsi="楷体" w:eastAsia="楷体"/>
          <w:color w:val="auto"/>
          <w:sz w:val="24"/>
        </w:rPr>
        <w:t>。</w:t>
      </w:r>
    </w:p>
    <w:p w14:paraId="4E59BFC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参编书目加分</w:t>
      </w:r>
    </w:p>
    <w:p w14:paraId="30E211D9">
      <w:pPr>
        <w:spacing w:line="360" w:lineRule="auto"/>
        <w:ind w:firstLine="480" w:firstLineChars="200"/>
        <w:rPr>
          <w:rFonts w:ascii="楷体" w:hAnsi="楷体" w:eastAsia="楷体"/>
          <w:color w:val="auto"/>
          <w:sz w:val="24"/>
        </w:rPr>
      </w:pPr>
      <w:r>
        <w:rPr>
          <w:rFonts w:hint="eastAsia" w:ascii="楷体" w:hAnsi="楷体" w:eastAsia="楷体"/>
          <w:color w:val="auto"/>
          <w:sz w:val="24"/>
        </w:rPr>
        <w:t>研究生参与本校教师专著认定办法参照</w:t>
      </w:r>
      <w:r>
        <w:rPr>
          <w:rFonts w:hint="eastAsia" w:ascii="楷体" w:hAnsi="楷体" w:eastAsia="楷体"/>
          <w:color w:val="auto"/>
          <w:sz w:val="24"/>
          <w:lang w:val="en-US" w:eastAsia="zh-CN"/>
        </w:rPr>
        <w:t>最新</w:t>
      </w:r>
      <w:r>
        <w:rPr>
          <w:rFonts w:hint="eastAsia" w:ascii="楷体" w:hAnsi="楷体" w:eastAsia="楷体"/>
          <w:color w:val="auto"/>
          <w:sz w:val="24"/>
        </w:rPr>
        <w:t>《西北师范大学教学科研项目、成果分类办法》中有关说明执行。</w:t>
      </w:r>
    </w:p>
    <w:p w14:paraId="321158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课题、项目加分</w:t>
      </w:r>
    </w:p>
    <w:tbl>
      <w:tblPr>
        <w:tblStyle w:val="5"/>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260"/>
        <w:gridCol w:w="1440"/>
        <w:gridCol w:w="1410"/>
        <w:gridCol w:w="1289"/>
      </w:tblGrid>
      <w:tr w14:paraId="22F8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84" w:type="dxa"/>
            <w:vAlign w:val="center"/>
          </w:tcPr>
          <w:p w14:paraId="1E11C91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等  级</w:t>
            </w:r>
          </w:p>
        </w:tc>
        <w:tc>
          <w:tcPr>
            <w:tcW w:w="1260" w:type="dxa"/>
            <w:vAlign w:val="center"/>
          </w:tcPr>
          <w:p w14:paraId="50CC6F27">
            <w:pPr>
              <w:spacing w:line="360" w:lineRule="auto"/>
              <w:jc w:val="center"/>
              <w:rPr>
                <w:rFonts w:ascii="宋体" w:hAnsi="宋体" w:cs="宋体"/>
                <w:color w:val="auto"/>
                <w:kern w:val="0"/>
                <w:szCs w:val="21"/>
              </w:rPr>
            </w:pPr>
            <w:r>
              <w:rPr>
                <w:rFonts w:hint="eastAsia" w:ascii="宋体" w:hAnsi="宋体" w:cs="宋体"/>
                <w:color w:val="auto"/>
                <w:kern w:val="0"/>
                <w:szCs w:val="21"/>
              </w:rPr>
              <w:t>国家级</w:t>
            </w:r>
          </w:p>
        </w:tc>
        <w:tc>
          <w:tcPr>
            <w:tcW w:w="1440" w:type="dxa"/>
            <w:vAlign w:val="center"/>
          </w:tcPr>
          <w:p w14:paraId="17480CF2">
            <w:pPr>
              <w:spacing w:line="360" w:lineRule="auto"/>
              <w:jc w:val="center"/>
              <w:rPr>
                <w:rFonts w:ascii="宋体" w:hAnsi="宋体" w:cs="宋体"/>
                <w:color w:val="auto"/>
                <w:kern w:val="0"/>
                <w:szCs w:val="21"/>
              </w:rPr>
            </w:pPr>
            <w:r>
              <w:rPr>
                <w:rFonts w:hint="eastAsia" w:ascii="宋体" w:hAnsi="宋体" w:cs="宋体"/>
                <w:color w:val="auto"/>
                <w:kern w:val="0"/>
                <w:szCs w:val="21"/>
              </w:rPr>
              <w:t>省级</w:t>
            </w:r>
          </w:p>
        </w:tc>
        <w:tc>
          <w:tcPr>
            <w:tcW w:w="1410" w:type="dxa"/>
            <w:vAlign w:val="center"/>
          </w:tcPr>
          <w:p w14:paraId="430132B1">
            <w:pPr>
              <w:spacing w:line="360" w:lineRule="auto"/>
              <w:jc w:val="center"/>
              <w:rPr>
                <w:rFonts w:ascii="宋体" w:hAnsi="宋体" w:cs="宋体"/>
                <w:color w:val="auto"/>
                <w:kern w:val="0"/>
                <w:szCs w:val="21"/>
              </w:rPr>
            </w:pPr>
            <w:r>
              <w:rPr>
                <w:rFonts w:hint="eastAsia" w:ascii="宋体" w:hAnsi="宋体" w:cs="宋体"/>
                <w:color w:val="auto"/>
                <w:kern w:val="0"/>
                <w:szCs w:val="21"/>
              </w:rPr>
              <w:t>校级</w:t>
            </w:r>
          </w:p>
        </w:tc>
        <w:tc>
          <w:tcPr>
            <w:tcW w:w="1289" w:type="dxa"/>
            <w:vAlign w:val="center"/>
          </w:tcPr>
          <w:p w14:paraId="114D434B">
            <w:pPr>
              <w:spacing w:line="360" w:lineRule="auto"/>
              <w:jc w:val="center"/>
              <w:rPr>
                <w:rFonts w:ascii="宋体" w:hAnsi="宋体" w:cs="宋体"/>
                <w:color w:val="auto"/>
                <w:kern w:val="0"/>
                <w:szCs w:val="21"/>
              </w:rPr>
            </w:pPr>
            <w:r>
              <w:rPr>
                <w:rFonts w:hint="eastAsia" w:ascii="宋体" w:hAnsi="宋体" w:cs="宋体"/>
                <w:color w:val="auto"/>
                <w:kern w:val="0"/>
                <w:szCs w:val="21"/>
              </w:rPr>
              <w:t>院级</w:t>
            </w:r>
          </w:p>
        </w:tc>
      </w:tr>
      <w:tr w14:paraId="74E7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4" w:type="dxa"/>
            <w:vAlign w:val="center"/>
          </w:tcPr>
          <w:p w14:paraId="7D1DF70E">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分值</w:t>
            </w:r>
          </w:p>
        </w:tc>
        <w:tc>
          <w:tcPr>
            <w:tcW w:w="1260" w:type="dxa"/>
            <w:vAlign w:val="center"/>
          </w:tcPr>
          <w:p w14:paraId="1C40A2A2">
            <w:pPr>
              <w:spacing w:line="360" w:lineRule="auto"/>
              <w:ind w:firstLine="420" w:firstLineChars="200"/>
              <w:rPr>
                <w:rFonts w:ascii="宋体" w:hAnsi="宋体" w:cs="宋体"/>
                <w:color w:val="auto"/>
                <w:kern w:val="0"/>
                <w:szCs w:val="21"/>
              </w:rPr>
            </w:pPr>
            <w:r>
              <w:rPr>
                <w:rFonts w:ascii="宋体" w:hAnsi="宋体" w:cs="宋体"/>
                <w:color w:val="auto"/>
                <w:kern w:val="0"/>
                <w:szCs w:val="21"/>
              </w:rPr>
              <w:t>30</w:t>
            </w:r>
          </w:p>
        </w:tc>
        <w:tc>
          <w:tcPr>
            <w:tcW w:w="1440" w:type="dxa"/>
            <w:vAlign w:val="center"/>
          </w:tcPr>
          <w:p w14:paraId="01BF203F">
            <w:pPr>
              <w:spacing w:line="360" w:lineRule="auto"/>
              <w:jc w:val="center"/>
              <w:rPr>
                <w:rFonts w:ascii="宋体" w:hAnsi="宋体" w:cs="宋体"/>
                <w:color w:val="auto"/>
                <w:kern w:val="0"/>
                <w:szCs w:val="21"/>
              </w:rPr>
            </w:pPr>
            <w:r>
              <w:rPr>
                <w:rFonts w:hint="eastAsia" w:ascii="宋体" w:hAnsi="宋体" w:cs="宋体"/>
                <w:color w:val="auto"/>
                <w:kern w:val="0"/>
                <w:szCs w:val="21"/>
              </w:rPr>
              <w:t>20</w:t>
            </w:r>
          </w:p>
        </w:tc>
        <w:tc>
          <w:tcPr>
            <w:tcW w:w="1410" w:type="dxa"/>
            <w:vAlign w:val="center"/>
          </w:tcPr>
          <w:p w14:paraId="6A3570EE">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w:t>
            </w:r>
          </w:p>
        </w:tc>
        <w:tc>
          <w:tcPr>
            <w:tcW w:w="1289" w:type="dxa"/>
            <w:vAlign w:val="center"/>
          </w:tcPr>
          <w:p w14:paraId="5B76227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w:t>
            </w:r>
          </w:p>
        </w:tc>
      </w:tr>
    </w:tbl>
    <w:p w14:paraId="5B97BC53">
      <w:pPr>
        <w:spacing w:line="360" w:lineRule="auto"/>
        <w:ind w:firstLine="480" w:firstLineChars="200"/>
        <w:rPr>
          <w:rFonts w:hint="eastAsia" w:ascii="楷体" w:hAnsi="楷体" w:eastAsia="楷体"/>
          <w:color w:val="auto"/>
          <w:sz w:val="24"/>
          <w:lang w:eastAsia="zh-CN"/>
        </w:rPr>
      </w:pPr>
      <w:r>
        <w:rPr>
          <w:rFonts w:hint="eastAsia" w:ascii="楷体" w:hAnsi="楷体" w:eastAsia="楷体"/>
          <w:color w:val="auto"/>
          <w:sz w:val="24"/>
        </w:rPr>
        <w:t>署名单位必须是西北师范大学</w:t>
      </w:r>
      <w:r>
        <w:rPr>
          <w:rFonts w:hint="eastAsia" w:ascii="楷体" w:hAnsi="楷体" w:eastAsia="楷体"/>
          <w:color w:val="auto"/>
          <w:sz w:val="24"/>
          <w:lang w:eastAsia="zh-CN"/>
        </w:rPr>
        <w:t>。</w:t>
      </w:r>
    </w:p>
    <w:p w14:paraId="07B5C4E2">
      <w:pPr>
        <w:spacing w:line="360" w:lineRule="auto"/>
        <w:ind w:firstLine="480" w:firstLineChars="200"/>
        <w:rPr>
          <w:rFonts w:ascii="楷体" w:hAnsi="楷体" w:eastAsia="楷体"/>
          <w:color w:val="auto"/>
          <w:sz w:val="24"/>
          <w:highlight w:val="none"/>
        </w:rPr>
      </w:pPr>
      <w:r>
        <w:rPr>
          <w:rFonts w:hint="eastAsia" w:ascii="楷体" w:hAnsi="楷体" w:eastAsia="楷体"/>
          <w:color w:val="auto"/>
          <w:sz w:val="24"/>
          <w:highlight w:val="none"/>
        </w:rPr>
        <w:t>课题或项目分为立项、结项两部分。项目主持人立项加总分值的60%、结项加总分值的40%。参与人排名不分先后，所有参与人平均分配分值，分值如下：</w:t>
      </w:r>
    </w:p>
    <w:tbl>
      <w:tblPr>
        <w:tblStyle w:val="5"/>
        <w:tblpPr w:leftFromText="180" w:rightFromText="180" w:vertAnchor="text" w:horzAnchor="page" w:tblpX="2372" w:tblpY="297"/>
        <w:tblW w:w="0" w:type="auto"/>
        <w:tblInd w:w="0" w:type="dxa"/>
        <w:tblLayout w:type="fixed"/>
        <w:tblCellMar>
          <w:top w:w="0" w:type="dxa"/>
          <w:left w:w="108" w:type="dxa"/>
          <w:bottom w:w="0" w:type="dxa"/>
          <w:right w:w="108" w:type="dxa"/>
        </w:tblCellMar>
      </w:tblPr>
      <w:tblGrid>
        <w:gridCol w:w="1951"/>
        <w:gridCol w:w="290"/>
        <w:gridCol w:w="5097"/>
      </w:tblGrid>
      <w:tr w14:paraId="1EB3DEE6">
        <w:tblPrEx>
          <w:tblCellMar>
            <w:top w:w="0" w:type="dxa"/>
            <w:left w:w="108" w:type="dxa"/>
            <w:bottom w:w="0" w:type="dxa"/>
            <w:right w:w="108" w:type="dxa"/>
          </w:tblCellMar>
        </w:tblPrEx>
        <w:tc>
          <w:tcPr>
            <w:tcW w:w="1951" w:type="dxa"/>
            <w:vMerge w:val="restart"/>
            <w:vAlign w:val="center"/>
          </w:tcPr>
          <w:p w14:paraId="5C3136B0">
            <w:pPr>
              <w:spacing w:line="360" w:lineRule="auto"/>
              <w:jc w:val="right"/>
              <w:rPr>
                <w:rFonts w:ascii="楷体" w:hAnsi="楷体" w:eastAsia="楷体"/>
                <w:color w:val="auto"/>
                <w:sz w:val="24"/>
                <w:highlight w:val="none"/>
              </w:rPr>
            </w:pPr>
            <w:r>
              <w:rPr>
                <w:rFonts w:hint="eastAsia" w:ascii="宋体" w:hAnsi="宋体" w:cs="宋体"/>
                <w:color w:val="auto"/>
                <w:kern w:val="0"/>
                <w:sz w:val="24"/>
                <w:highlight w:val="none"/>
                <w:lang w:bidi="ar"/>
              </w:rPr>
              <w:t>立项参与人分值</w:t>
            </w:r>
          </w:p>
        </w:tc>
        <w:tc>
          <w:tcPr>
            <w:tcW w:w="290" w:type="dxa"/>
            <w:vMerge w:val="restart"/>
            <w:vAlign w:val="center"/>
          </w:tcPr>
          <w:p w14:paraId="00C19B0B">
            <w:pPr>
              <w:spacing w:line="360" w:lineRule="auto"/>
              <w:ind w:left="-105" w:leftChars="-50"/>
              <w:rPr>
                <w:rFonts w:ascii="楷体" w:hAnsi="楷体" w:eastAsia="楷体"/>
                <w:color w:val="auto"/>
                <w:sz w:val="24"/>
                <w:highlight w:val="none"/>
              </w:rPr>
            </w:pPr>
            <w:r>
              <w:rPr>
                <w:rFonts w:hint="eastAsia" w:ascii="楷体" w:hAnsi="楷体" w:eastAsia="楷体"/>
                <w:color w:val="auto"/>
                <w:sz w:val="24"/>
                <w:highlight w:val="none"/>
              </w:rPr>
              <w:t>＝</w:t>
            </w:r>
          </w:p>
        </w:tc>
        <w:tc>
          <w:tcPr>
            <w:tcW w:w="5097" w:type="dxa"/>
            <w:tcBorders>
              <w:bottom w:val="single" w:color="auto" w:sz="4" w:space="0"/>
            </w:tcBorders>
          </w:tcPr>
          <w:p w14:paraId="696F05EF">
            <w:pPr>
              <w:spacing w:line="360" w:lineRule="auto"/>
              <w:jc w:val="center"/>
              <w:rPr>
                <w:rFonts w:ascii="楷体" w:hAnsi="楷体" w:eastAsia="楷体"/>
                <w:color w:val="auto"/>
                <w:sz w:val="24"/>
                <w:highlight w:val="none"/>
              </w:rPr>
            </w:pPr>
            <w:r>
              <w:rPr>
                <w:rFonts w:hint="eastAsia" w:ascii="宋体" w:hAnsi="宋体" w:cs="宋体"/>
                <w:color w:val="auto"/>
                <w:kern w:val="0"/>
                <w:sz w:val="24"/>
                <w:highlight w:val="none"/>
                <w:lang w:bidi="ar"/>
              </w:rPr>
              <w:t>总分值×0.6</w:t>
            </w:r>
          </w:p>
        </w:tc>
      </w:tr>
      <w:tr w14:paraId="4E720213">
        <w:tblPrEx>
          <w:tblCellMar>
            <w:top w:w="0" w:type="dxa"/>
            <w:left w:w="108" w:type="dxa"/>
            <w:bottom w:w="0" w:type="dxa"/>
            <w:right w:w="108" w:type="dxa"/>
          </w:tblCellMar>
        </w:tblPrEx>
        <w:trPr>
          <w:trHeight w:val="311" w:hRule="atLeast"/>
        </w:trPr>
        <w:tc>
          <w:tcPr>
            <w:tcW w:w="1951" w:type="dxa"/>
            <w:vMerge w:val="continue"/>
          </w:tcPr>
          <w:p w14:paraId="5CF80E34">
            <w:pPr>
              <w:spacing w:line="360" w:lineRule="auto"/>
              <w:rPr>
                <w:rFonts w:ascii="楷体" w:hAnsi="楷体" w:eastAsia="楷体"/>
                <w:color w:val="auto"/>
                <w:sz w:val="24"/>
                <w:highlight w:val="none"/>
              </w:rPr>
            </w:pPr>
          </w:p>
        </w:tc>
        <w:tc>
          <w:tcPr>
            <w:tcW w:w="290" w:type="dxa"/>
            <w:vMerge w:val="continue"/>
          </w:tcPr>
          <w:p w14:paraId="5E5AD514">
            <w:pPr>
              <w:spacing w:line="360" w:lineRule="auto"/>
              <w:rPr>
                <w:rFonts w:ascii="楷体" w:hAnsi="楷体" w:eastAsia="楷体"/>
                <w:color w:val="auto"/>
                <w:sz w:val="24"/>
                <w:highlight w:val="none"/>
              </w:rPr>
            </w:pPr>
          </w:p>
        </w:tc>
        <w:tc>
          <w:tcPr>
            <w:tcW w:w="5097" w:type="dxa"/>
            <w:tcBorders>
              <w:top w:val="single" w:color="auto" w:sz="4" w:space="0"/>
            </w:tcBorders>
          </w:tcPr>
          <w:p w14:paraId="3555EE92">
            <w:pPr>
              <w:spacing w:line="360" w:lineRule="auto"/>
              <w:jc w:val="center"/>
              <w:rPr>
                <w:rFonts w:ascii="楷体" w:hAnsi="楷体" w:eastAsia="楷体"/>
                <w:color w:val="auto"/>
                <w:sz w:val="24"/>
                <w:highlight w:val="none"/>
              </w:rPr>
            </w:pPr>
            <w:r>
              <w:rPr>
                <w:rFonts w:hint="eastAsia" w:ascii="宋体" w:hAnsi="宋体" w:cs="宋体"/>
                <w:color w:val="auto"/>
                <w:kern w:val="0"/>
                <w:sz w:val="24"/>
                <w:highlight w:val="none"/>
                <w:lang w:bidi="ar"/>
              </w:rPr>
              <w:t>参与人总人数（除主持人外）</w:t>
            </w:r>
          </w:p>
        </w:tc>
      </w:tr>
    </w:tbl>
    <w:p w14:paraId="17375F33">
      <w:pPr>
        <w:spacing w:line="360" w:lineRule="auto"/>
        <w:ind w:firstLine="480" w:firstLineChars="200"/>
        <w:rPr>
          <w:rFonts w:ascii="楷体" w:hAnsi="楷体" w:eastAsia="楷体"/>
          <w:color w:val="auto"/>
          <w:sz w:val="24"/>
          <w:highlight w:val="yellow"/>
        </w:rPr>
      </w:pPr>
    </w:p>
    <w:tbl>
      <w:tblPr>
        <w:tblStyle w:val="5"/>
        <w:tblpPr w:leftFromText="180" w:rightFromText="180" w:vertAnchor="text" w:horzAnchor="page" w:tblpX="2372" w:tblpY="297"/>
        <w:tblW w:w="0" w:type="auto"/>
        <w:tblInd w:w="0" w:type="dxa"/>
        <w:tblLayout w:type="fixed"/>
        <w:tblCellMar>
          <w:top w:w="0" w:type="dxa"/>
          <w:left w:w="108" w:type="dxa"/>
          <w:bottom w:w="0" w:type="dxa"/>
          <w:right w:w="108" w:type="dxa"/>
        </w:tblCellMar>
      </w:tblPr>
      <w:tblGrid>
        <w:gridCol w:w="1951"/>
        <w:gridCol w:w="290"/>
        <w:gridCol w:w="5097"/>
      </w:tblGrid>
      <w:tr w14:paraId="6D39D722">
        <w:tblPrEx>
          <w:tblCellMar>
            <w:top w:w="0" w:type="dxa"/>
            <w:left w:w="108" w:type="dxa"/>
            <w:bottom w:w="0" w:type="dxa"/>
            <w:right w:w="108" w:type="dxa"/>
          </w:tblCellMar>
        </w:tblPrEx>
        <w:tc>
          <w:tcPr>
            <w:tcW w:w="1951" w:type="dxa"/>
            <w:vMerge w:val="restart"/>
            <w:vAlign w:val="center"/>
          </w:tcPr>
          <w:p w14:paraId="469C1B6E">
            <w:pPr>
              <w:spacing w:line="360" w:lineRule="auto"/>
              <w:jc w:val="right"/>
              <w:rPr>
                <w:rFonts w:ascii="楷体" w:hAnsi="楷体" w:eastAsia="楷体"/>
                <w:color w:val="auto"/>
                <w:sz w:val="24"/>
                <w:highlight w:val="none"/>
              </w:rPr>
            </w:pPr>
            <w:bookmarkStart w:id="0" w:name="_GoBack"/>
            <w:r>
              <w:rPr>
                <w:rFonts w:hint="eastAsia" w:ascii="宋体" w:hAnsi="宋体" w:cs="宋体"/>
                <w:color w:val="auto"/>
                <w:kern w:val="0"/>
                <w:sz w:val="24"/>
                <w:highlight w:val="none"/>
                <w:lang w:bidi="ar"/>
              </w:rPr>
              <w:t>立项参与人分值</w:t>
            </w:r>
          </w:p>
        </w:tc>
        <w:tc>
          <w:tcPr>
            <w:tcW w:w="290" w:type="dxa"/>
            <w:vMerge w:val="restart"/>
            <w:vAlign w:val="center"/>
          </w:tcPr>
          <w:p w14:paraId="0745FEBE">
            <w:pPr>
              <w:spacing w:line="360" w:lineRule="auto"/>
              <w:ind w:left="-105" w:leftChars="-50"/>
              <w:rPr>
                <w:rFonts w:ascii="楷体" w:hAnsi="楷体" w:eastAsia="楷体"/>
                <w:color w:val="auto"/>
                <w:sz w:val="24"/>
                <w:highlight w:val="none"/>
              </w:rPr>
            </w:pPr>
            <w:r>
              <w:rPr>
                <w:rFonts w:hint="eastAsia" w:ascii="楷体" w:hAnsi="楷体" w:eastAsia="楷体"/>
                <w:color w:val="auto"/>
                <w:sz w:val="24"/>
                <w:highlight w:val="none"/>
              </w:rPr>
              <w:t>＝</w:t>
            </w:r>
          </w:p>
        </w:tc>
        <w:tc>
          <w:tcPr>
            <w:tcW w:w="5097" w:type="dxa"/>
            <w:tcBorders>
              <w:bottom w:val="single" w:color="auto" w:sz="4" w:space="0"/>
            </w:tcBorders>
          </w:tcPr>
          <w:p w14:paraId="06A3D9A4">
            <w:pPr>
              <w:spacing w:line="360" w:lineRule="auto"/>
              <w:jc w:val="center"/>
              <w:rPr>
                <w:rFonts w:ascii="楷体" w:hAnsi="楷体" w:eastAsia="楷体"/>
                <w:color w:val="auto"/>
                <w:sz w:val="24"/>
                <w:highlight w:val="none"/>
              </w:rPr>
            </w:pPr>
            <w:r>
              <w:rPr>
                <w:rFonts w:hint="eastAsia" w:ascii="宋体" w:hAnsi="宋体" w:cs="宋体"/>
                <w:color w:val="auto"/>
                <w:kern w:val="0"/>
                <w:sz w:val="24"/>
                <w:highlight w:val="none"/>
                <w:lang w:bidi="ar"/>
              </w:rPr>
              <w:t>总分值×0.6</w:t>
            </w:r>
          </w:p>
        </w:tc>
      </w:tr>
      <w:tr w14:paraId="595A0D5C">
        <w:tblPrEx>
          <w:tblCellMar>
            <w:top w:w="0" w:type="dxa"/>
            <w:left w:w="108" w:type="dxa"/>
            <w:bottom w:w="0" w:type="dxa"/>
            <w:right w:w="108" w:type="dxa"/>
          </w:tblCellMar>
        </w:tblPrEx>
        <w:trPr>
          <w:trHeight w:val="311" w:hRule="atLeast"/>
        </w:trPr>
        <w:tc>
          <w:tcPr>
            <w:tcW w:w="1951" w:type="dxa"/>
            <w:vMerge w:val="continue"/>
          </w:tcPr>
          <w:p w14:paraId="2D1B3E4F">
            <w:pPr>
              <w:spacing w:line="360" w:lineRule="auto"/>
              <w:rPr>
                <w:rFonts w:ascii="楷体" w:hAnsi="楷体" w:eastAsia="楷体"/>
                <w:color w:val="auto"/>
                <w:sz w:val="24"/>
                <w:highlight w:val="none"/>
              </w:rPr>
            </w:pPr>
          </w:p>
        </w:tc>
        <w:tc>
          <w:tcPr>
            <w:tcW w:w="290" w:type="dxa"/>
            <w:vMerge w:val="continue"/>
          </w:tcPr>
          <w:p w14:paraId="6B54AA19">
            <w:pPr>
              <w:spacing w:line="360" w:lineRule="auto"/>
              <w:rPr>
                <w:rFonts w:ascii="楷体" w:hAnsi="楷体" w:eastAsia="楷体"/>
                <w:color w:val="auto"/>
                <w:sz w:val="24"/>
                <w:highlight w:val="none"/>
              </w:rPr>
            </w:pPr>
          </w:p>
        </w:tc>
        <w:tc>
          <w:tcPr>
            <w:tcW w:w="5097" w:type="dxa"/>
            <w:tcBorders>
              <w:top w:val="single" w:color="auto" w:sz="4" w:space="0"/>
            </w:tcBorders>
          </w:tcPr>
          <w:p w14:paraId="238A7024">
            <w:pPr>
              <w:spacing w:line="360" w:lineRule="auto"/>
              <w:jc w:val="center"/>
              <w:rPr>
                <w:rFonts w:ascii="楷体" w:hAnsi="楷体" w:eastAsia="楷体"/>
                <w:color w:val="auto"/>
                <w:sz w:val="24"/>
                <w:highlight w:val="none"/>
              </w:rPr>
            </w:pPr>
            <w:r>
              <w:rPr>
                <w:rFonts w:hint="eastAsia" w:ascii="宋体" w:hAnsi="宋体" w:cs="宋体"/>
                <w:color w:val="auto"/>
                <w:kern w:val="0"/>
                <w:sz w:val="24"/>
                <w:highlight w:val="none"/>
                <w:lang w:bidi="ar"/>
              </w:rPr>
              <w:t>参与人总人数（除主持人外）</w:t>
            </w:r>
          </w:p>
        </w:tc>
      </w:tr>
    </w:tbl>
    <w:p w14:paraId="12594A6C">
      <w:pPr>
        <w:spacing w:line="360" w:lineRule="auto"/>
        <w:rPr>
          <w:rFonts w:ascii="楷体" w:hAnsi="楷体" w:eastAsia="楷体"/>
          <w:color w:val="auto"/>
          <w:sz w:val="24"/>
          <w:highlight w:val="none"/>
        </w:rPr>
      </w:pPr>
    </w:p>
    <w:bookmarkEnd w:id="0"/>
    <w:p w14:paraId="5850829F">
      <w:pPr>
        <w:spacing w:line="360" w:lineRule="auto"/>
        <w:ind w:firstLine="480" w:firstLineChars="200"/>
        <w:rPr>
          <w:rFonts w:ascii="楷体" w:hAnsi="楷体" w:eastAsia="楷体"/>
          <w:color w:val="auto"/>
          <w:sz w:val="24"/>
        </w:rPr>
      </w:pPr>
      <w:r>
        <w:rPr>
          <w:rFonts w:hint="eastAsia" w:ascii="楷体" w:hAnsi="楷体" w:eastAsia="楷体"/>
          <w:color w:val="auto"/>
          <w:sz w:val="24"/>
        </w:rPr>
        <w:t>课题立项、结项必须有相应的证书，获奖必须有获奖证书，且有依据说明参与者。</w:t>
      </w:r>
    </w:p>
    <w:p w14:paraId="13E9B37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4.教学、科研</w:t>
      </w:r>
      <w:r>
        <w:rPr>
          <w:rFonts w:hint="eastAsia" w:ascii="宋体" w:hAnsi="宋体" w:cs="宋体"/>
          <w:color w:val="auto"/>
          <w:kern w:val="0"/>
          <w:sz w:val="24"/>
        </w:rPr>
        <w:t xml:space="preserve">获奖加分   </w:t>
      </w:r>
    </w:p>
    <w:tbl>
      <w:tblPr>
        <w:tblStyle w:val="5"/>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992"/>
        <w:gridCol w:w="1134"/>
        <w:gridCol w:w="1345"/>
        <w:gridCol w:w="1002"/>
      </w:tblGrid>
      <w:tr w14:paraId="1EEC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60" w:type="dxa"/>
            <w:vAlign w:val="center"/>
          </w:tcPr>
          <w:p w14:paraId="4B4CC5B3">
            <w:pPr>
              <w:spacing w:line="360" w:lineRule="auto"/>
              <w:jc w:val="center"/>
              <w:rPr>
                <w:rFonts w:ascii="宋体" w:hAnsi="宋体"/>
                <w:color w:val="auto"/>
                <w:kern w:val="0"/>
                <w:szCs w:val="21"/>
              </w:rPr>
            </w:pPr>
            <w:r>
              <w:rPr>
                <w:rFonts w:hint="eastAsia" w:ascii="宋体" w:hAnsi="宋体"/>
                <w:color w:val="auto"/>
                <w:kern w:val="0"/>
                <w:szCs w:val="21"/>
              </w:rPr>
              <w:t>获奖等级</w:t>
            </w:r>
          </w:p>
        </w:tc>
        <w:tc>
          <w:tcPr>
            <w:tcW w:w="992" w:type="dxa"/>
            <w:vAlign w:val="center"/>
          </w:tcPr>
          <w:p w14:paraId="095E50D4">
            <w:pPr>
              <w:spacing w:line="360" w:lineRule="auto"/>
              <w:jc w:val="center"/>
              <w:rPr>
                <w:rFonts w:ascii="宋体" w:hAnsi="宋体"/>
                <w:color w:val="auto"/>
                <w:kern w:val="0"/>
                <w:szCs w:val="21"/>
              </w:rPr>
            </w:pPr>
            <w:r>
              <w:rPr>
                <w:rFonts w:hint="eastAsia" w:ascii="宋体" w:hAnsi="宋体"/>
                <w:color w:val="auto"/>
                <w:kern w:val="0"/>
                <w:szCs w:val="21"/>
              </w:rPr>
              <w:t>国家级</w:t>
            </w:r>
          </w:p>
        </w:tc>
        <w:tc>
          <w:tcPr>
            <w:tcW w:w="1134" w:type="dxa"/>
            <w:vAlign w:val="center"/>
          </w:tcPr>
          <w:p w14:paraId="70DF6672">
            <w:pPr>
              <w:spacing w:line="360" w:lineRule="auto"/>
              <w:jc w:val="center"/>
              <w:rPr>
                <w:rFonts w:ascii="宋体" w:hAnsi="宋体"/>
                <w:color w:val="auto"/>
                <w:kern w:val="0"/>
                <w:szCs w:val="21"/>
              </w:rPr>
            </w:pPr>
            <w:r>
              <w:rPr>
                <w:rFonts w:hint="eastAsia" w:ascii="宋体" w:hAnsi="宋体"/>
                <w:color w:val="auto"/>
                <w:kern w:val="0"/>
                <w:szCs w:val="21"/>
              </w:rPr>
              <w:t>省级</w:t>
            </w:r>
          </w:p>
        </w:tc>
        <w:tc>
          <w:tcPr>
            <w:tcW w:w="1345" w:type="dxa"/>
            <w:vAlign w:val="center"/>
          </w:tcPr>
          <w:p w14:paraId="767B220B">
            <w:pPr>
              <w:spacing w:line="360" w:lineRule="auto"/>
              <w:jc w:val="center"/>
              <w:rPr>
                <w:rFonts w:ascii="宋体" w:hAnsi="宋体"/>
                <w:color w:val="auto"/>
                <w:kern w:val="0"/>
                <w:szCs w:val="21"/>
              </w:rPr>
            </w:pPr>
            <w:r>
              <w:rPr>
                <w:rFonts w:hint="eastAsia" w:ascii="宋体" w:hAnsi="宋体"/>
                <w:color w:val="auto"/>
                <w:kern w:val="0"/>
                <w:szCs w:val="21"/>
              </w:rPr>
              <w:t>校级</w:t>
            </w:r>
          </w:p>
        </w:tc>
        <w:tc>
          <w:tcPr>
            <w:tcW w:w="1002" w:type="dxa"/>
            <w:vAlign w:val="center"/>
          </w:tcPr>
          <w:p w14:paraId="0172C727">
            <w:pPr>
              <w:spacing w:line="360" w:lineRule="auto"/>
              <w:jc w:val="center"/>
              <w:rPr>
                <w:rFonts w:ascii="宋体" w:hAnsi="宋体"/>
                <w:color w:val="auto"/>
                <w:kern w:val="0"/>
                <w:szCs w:val="21"/>
              </w:rPr>
            </w:pPr>
            <w:r>
              <w:rPr>
                <w:rFonts w:hint="eastAsia" w:ascii="宋体" w:hAnsi="宋体"/>
                <w:color w:val="auto"/>
                <w:kern w:val="0"/>
                <w:szCs w:val="21"/>
              </w:rPr>
              <w:t>院级</w:t>
            </w:r>
          </w:p>
        </w:tc>
      </w:tr>
      <w:tr w14:paraId="5F16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60" w:type="dxa"/>
            <w:vAlign w:val="center"/>
          </w:tcPr>
          <w:p w14:paraId="33F4591C">
            <w:pPr>
              <w:spacing w:line="360" w:lineRule="auto"/>
              <w:jc w:val="center"/>
              <w:rPr>
                <w:rFonts w:ascii="宋体" w:hAnsi="宋体"/>
                <w:color w:val="auto"/>
                <w:kern w:val="0"/>
                <w:szCs w:val="21"/>
              </w:rPr>
            </w:pPr>
            <w:r>
              <w:rPr>
                <w:rFonts w:hint="eastAsia" w:ascii="宋体" w:hAnsi="宋体"/>
                <w:color w:val="auto"/>
                <w:kern w:val="0"/>
                <w:szCs w:val="21"/>
              </w:rPr>
              <w:t>一等奖</w:t>
            </w:r>
          </w:p>
        </w:tc>
        <w:tc>
          <w:tcPr>
            <w:tcW w:w="992" w:type="dxa"/>
            <w:vAlign w:val="center"/>
          </w:tcPr>
          <w:p w14:paraId="1386E12A">
            <w:pPr>
              <w:spacing w:line="360" w:lineRule="auto"/>
              <w:jc w:val="center"/>
              <w:rPr>
                <w:rFonts w:ascii="宋体" w:hAnsi="宋体"/>
                <w:color w:val="auto"/>
                <w:kern w:val="0"/>
                <w:szCs w:val="21"/>
              </w:rPr>
            </w:pPr>
            <w:r>
              <w:rPr>
                <w:rFonts w:hint="eastAsia" w:ascii="宋体" w:hAnsi="宋体"/>
                <w:color w:val="auto"/>
                <w:kern w:val="0"/>
                <w:szCs w:val="21"/>
              </w:rPr>
              <w:t>50</w:t>
            </w:r>
          </w:p>
        </w:tc>
        <w:tc>
          <w:tcPr>
            <w:tcW w:w="1134" w:type="dxa"/>
          </w:tcPr>
          <w:p w14:paraId="7E594FD3">
            <w:pPr>
              <w:spacing w:line="360" w:lineRule="auto"/>
              <w:jc w:val="center"/>
              <w:rPr>
                <w:rFonts w:ascii="宋体" w:hAnsi="宋体"/>
                <w:color w:val="auto"/>
                <w:kern w:val="0"/>
                <w:szCs w:val="21"/>
              </w:rPr>
            </w:pPr>
            <w:r>
              <w:rPr>
                <w:rFonts w:ascii="宋体" w:hAnsi="宋体"/>
                <w:color w:val="auto"/>
                <w:kern w:val="0"/>
                <w:szCs w:val="21"/>
              </w:rPr>
              <w:t>30</w:t>
            </w:r>
          </w:p>
        </w:tc>
        <w:tc>
          <w:tcPr>
            <w:tcW w:w="1345" w:type="dxa"/>
            <w:vAlign w:val="center"/>
          </w:tcPr>
          <w:p w14:paraId="3850F844">
            <w:pPr>
              <w:spacing w:line="360" w:lineRule="auto"/>
              <w:jc w:val="center"/>
              <w:rPr>
                <w:rFonts w:ascii="宋体" w:hAnsi="宋体"/>
                <w:color w:val="auto"/>
                <w:kern w:val="0"/>
                <w:szCs w:val="21"/>
              </w:rPr>
            </w:pPr>
            <w:r>
              <w:rPr>
                <w:rFonts w:hint="eastAsia" w:ascii="宋体" w:hAnsi="宋体"/>
                <w:color w:val="auto"/>
                <w:kern w:val="0"/>
                <w:szCs w:val="21"/>
              </w:rPr>
              <w:t>20</w:t>
            </w:r>
          </w:p>
        </w:tc>
        <w:tc>
          <w:tcPr>
            <w:tcW w:w="1002" w:type="dxa"/>
            <w:vAlign w:val="center"/>
          </w:tcPr>
          <w:p w14:paraId="333D9F45">
            <w:pPr>
              <w:spacing w:line="360" w:lineRule="auto"/>
              <w:jc w:val="center"/>
              <w:rPr>
                <w:rFonts w:ascii="宋体" w:hAnsi="宋体"/>
                <w:color w:val="auto"/>
                <w:kern w:val="0"/>
                <w:szCs w:val="21"/>
              </w:rPr>
            </w:pPr>
            <w:r>
              <w:rPr>
                <w:rFonts w:hint="eastAsia" w:ascii="宋体" w:hAnsi="宋体"/>
                <w:color w:val="auto"/>
                <w:kern w:val="0"/>
                <w:szCs w:val="21"/>
              </w:rPr>
              <w:t>10</w:t>
            </w:r>
          </w:p>
        </w:tc>
      </w:tr>
      <w:tr w14:paraId="4DE2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60" w:type="dxa"/>
            <w:vAlign w:val="center"/>
          </w:tcPr>
          <w:p w14:paraId="760F77EA">
            <w:pPr>
              <w:spacing w:line="360" w:lineRule="auto"/>
              <w:jc w:val="center"/>
              <w:rPr>
                <w:rFonts w:ascii="宋体" w:hAnsi="宋体"/>
                <w:color w:val="auto"/>
                <w:kern w:val="0"/>
                <w:szCs w:val="21"/>
              </w:rPr>
            </w:pPr>
            <w:r>
              <w:rPr>
                <w:rFonts w:hint="eastAsia" w:ascii="宋体" w:hAnsi="宋体"/>
                <w:color w:val="auto"/>
                <w:kern w:val="0"/>
                <w:szCs w:val="21"/>
              </w:rPr>
              <w:t>二等奖</w:t>
            </w:r>
          </w:p>
        </w:tc>
        <w:tc>
          <w:tcPr>
            <w:tcW w:w="992" w:type="dxa"/>
            <w:vAlign w:val="center"/>
          </w:tcPr>
          <w:p w14:paraId="3164427D">
            <w:pPr>
              <w:spacing w:line="360" w:lineRule="auto"/>
              <w:jc w:val="center"/>
              <w:rPr>
                <w:rFonts w:ascii="宋体" w:hAnsi="宋体"/>
                <w:color w:val="auto"/>
                <w:kern w:val="0"/>
                <w:szCs w:val="21"/>
              </w:rPr>
            </w:pPr>
            <w:r>
              <w:rPr>
                <w:rFonts w:hint="eastAsia" w:ascii="宋体" w:hAnsi="宋体"/>
                <w:color w:val="auto"/>
                <w:kern w:val="0"/>
                <w:szCs w:val="21"/>
              </w:rPr>
              <w:t>40</w:t>
            </w:r>
          </w:p>
        </w:tc>
        <w:tc>
          <w:tcPr>
            <w:tcW w:w="1134" w:type="dxa"/>
          </w:tcPr>
          <w:p w14:paraId="55B9587F">
            <w:pPr>
              <w:spacing w:line="360" w:lineRule="auto"/>
              <w:jc w:val="center"/>
              <w:rPr>
                <w:rFonts w:ascii="宋体" w:hAnsi="宋体"/>
                <w:color w:val="auto"/>
                <w:kern w:val="0"/>
                <w:szCs w:val="21"/>
              </w:rPr>
            </w:pPr>
            <w:r>
              <w:rPr>
                <w:rFonts w:ascii="宋体" w:hAnsi="宋体"/>
                <w:color w:val="auto"/>
                <w:kern w:val="0"/>
                <w:szCs w:val="21"/>
              </w:rPr>
              <w:t>25</w:t>
            </w:r>
          </w:p>
        </w:tc>
        <w:tc>
          <w:tcPr>
            <w:tcW w:w="1345" w:type="dxa"/>
            <w:vAlign w:val="center"/>
          </w:tcPr>
          <w:p w14:paraId="38373B95">
            <w:pPr>
              <w:spacing w:line="360" w:lineRule="auto"/>
              <w:jc w:val="center"/>
              <w:rPr>
                <w:rFonts w:ascii="宋体" w:hAnsi="宋体"/>
                <w:color w:val="auto"/>
                <w:kern w:val="0"/>
                <w:szCs w:val="21"/>
              </w:rPr>
            </w:pPr>
            <w:r>
              <w:rPr>
                <w:rFonts w:hint="eastAsia" w:ascii="宋体" w:hAnsi="宋体"/>
                <w:color w:val="auto"/>
                <w:kern w:val="0"/>
                <w:szCs w:val="21"/>
              </w:rPr>
              <w:t>10</w:t>
            </w:r>
          </w:p>
        </w:tc>
        <w:tc>
          <w:tcPr>
            <w:tcW w:w="1002" w:type="dxa"/>
            <w:vAlign w:val="center"/>
          </w:tcPr>
          <w:p w14:paraId="64D00CF3">
            <w:pPr>
              <w:spacing w:line="360" w:lineRule="auto"/>
              <w:jc w:val="center"/>
              <w:rPr>
                <w:rFonts w:ascii="宋体" w:hAnsi="宋体"/>
                <w:color w:val="auto"/>
                <w:kern w:val="0"/>
                <w:szCs w:val="21"/>
              </w:rPr>
            </w:pPr>
            <w:r>
              <w:rPr>
                <w:rFonts w:hint="eastAsia" w:ascii="宋体" w:hAnsi="宋体"/>
                <w:color w:val="auto"/>
                <w:kern w:val="0"/>
                <w:szCs w:val="21"/>
              </w:rPr>
              <w:t>5</w:t>
            </w:r>
          </w:p>
        </w:tc>
      </w:tr>
      <w:tr w14:paraId="7181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60" w:type="dxa"/>
            <w:vAlign w:val="center"/>
          </w:tcPr>
          <w:p w14:paraId="0F882B9A">
            <w:pPr>
              <w:spacing w:line="360" w:lineRule="auto"/>
              <w:jc w:val="center"/>
              <w:rPr>
                <w:rFonts w:ascii="宋体" w:hAnsi="宋体"/>
                <w:color w:val="auto"/>
                <w:kern w:val="0"/>
                <w:szCs w:val="21"/>
              </w:rPr>
            </w:pPr>
            <w:r>
              <w:rPr>
                <w:rFonts w:hint="eastAsia" w:ascii="宋体" w:hAnsi="宋体"/>
                <w:color w:val="auto"/>
                <w:kern w:val="0"/>
                <w:szCs w:val="21"/>
              </w:rPr>
              <w:t>三等奖（或优秀奖）</w:t>
            </w:r>
          </w:p>
        </w:tc>
        <w:tc>
          <w:tcPr>
            <w:tcW w:w="992" w:type="dxa"/>
            <w:vAlign w:val="center"/>
          </w:tcPr>
          <w:p w14:paraId="3560151F">
            <w:pPr>
              <w:spacing w:line="360" w:lineRule="auto"/>
              <w:jc w:val="center"/>
              <w:rPr>
                <w:rFonts w:ascii="宋体" w:hAnsi="宋体"/>
                <w:color w:val="auto"/>
                <w:kern w:val="0"/>
                <w:szCs w:val="21"/>
              </w:rPr>
            </w:pPr>
            <w:r>
              <w:rPr>
                <w:rFonts w:hint="eastAsia" w:ascii="宋体" w:hAnsi="宋体"/>
                <w:color w:val="auto"/>
                <w:kern w:val="0"/>
                <w:szCs w:val="21"/>
              </w:rPr>
              <w:t>30</w:t>
            </w:r>
          </w:p>
        </w:tc>
        <w:tc>
          <w:tcPr>
            <w:tcW w:w="1134" w:type="dxa"/>
          </w:tcPr>
          <w:p w14:paraId="1922503F">
            <w:pPr>
              <w:spacing w:line="360" w:lineRule="auto"/>
              <w:jc w:val="center"/>
              <w:rPr>
                <w:rFonts w:ascii="宋体" w:hAnsi="宋体"/>
                <w:color w:val="auto"/>
                <w:kern w:val="0"/>
                <w:szCs w:val="21"/>
              </w:rPr>
            </w:pPr>
            <w:r>
              <w:rPr>
                <w:rFonts w:hint="eastAsia" w:ascii="宋体" w:hAnsi="宋体"/>
                <w:color w:val="auto"/>
                <w:kern w:val="0"/>
                <w:szCs w:val="21"/>
              </w:rPr>
              <w:t>20</w:t>
            </w:r>
          </w:p>
        </w:tc>
        <w:tc>
          <w:tcPr>
            <w:tcW w:w="1345" w:type="dxa"/>
            <w:vAlign w:val="center"/>
          </w:tcPr>
          <w:p w14:paraId="10D3BBBF">
            <w:pPr>
              <w:spacing w:line="360" w:lineRule="auto"/>
              <w:jc w:val="center"/>
              <w:rPr>
                <w:rFonts w:ascii="宋体" w:hAnsi="宋体"/>
                <w:color w:val="auto"/>
                <w:kern w:val="0"/>
                <w:szCs w:val="21"/>
              </w:rPr>
            </w:pPr>
            <w:r>
              <w:rPr>
                <w:rFonts w:hint="eastAsia" w:ascii="宋体" w:hAnsi="宋体"/>
                <w:color w:val="auto"/>
                <w:kern w:val="0"/>
                <w:szCs w:val="21"/>
              </w:rPr>
              <w:t>5</w:t>
            </w:r>
          </w:p>
        </w:tc>
        <w:tc>
          <w:tcPr>
            <w:tcW w:w="1002" w:type="dxa"/>
            <w:vAlign w:val="center"/>
          </w:tcPr>
          <w:p w14:paraId="54B3A216">
            <w:pPr>
              <w:spacing w:line="360" w:lineRule="auto"/>
              <w:jc w:val="center"/>
              <w:rPr>
                <w:rFonts w:ascii="宋体" w:hAnsi="宋体"/>
                <w:color w:val="auto"/>
                <w:kern w:val="0"/>
                <w:szCs w:val="21"/>
              </w:rPr>
            </w:pPr>
            <w:r>
              <w:rPr>
                <w:rFonts w:hint="eastAsia" w:ascii="宋体" w:hAnsi="宋体"/>
                <w:color w:val="auto"/>
                <w:kern w:val="0"/>
                <w:szCs w:val="21"/>
              </w:rPr>
              <w:t>2</w:t>
            </w:r>
          </w:p>
        </w:tc>
      </w:tr>
    </w:tbl>
    <w:p w14:paraId="4EA6C9AF">
      <w:pPr>
        <w:spacing w:line="360" w:lineRule="auto"/>
        <w:ind w:firstLine="480" w:firstLineChars="200"/>
        <w:rPr>
          <w:rFonts w:ascii="楷体" w:hAnsi="楷体" w:eastAsia="楷体"/>
          <w:color w:val="auto"/>
          <w:sz w:val="24"/>
        </w:rPr>
      </w:pPr>
      <w:r>
        <w:rPr>
          <w:rFonts w:hint="eastAsia" w:ascii="楷体" w:hAnsi="楷体" w:eastAsia="楷体"/>
          <w:color w:val="auto"/>
          <w:sz w:val="24"/>
        </w:rPr>
        <w:t>注：所有奖项必须出具相关获奖证书或相关证明材料。所获奖项为团体奖时，</w:t>
      </w:r>
      <w:r>
        <w:rPr>
          <w:rFonts w:hint="eastAsia" w:ascii="楷体" w:hAnsi="楷体" w:eastAsia="楷体"/>
          <w:color w:val="auto"/>
          <w:sz w:val="24"/>
          <w:lang w:val="en-US" w:eastAsia="zh-CN"/>
        </w:rPr>
        <w:t>负责人计相应分值的40%，其他成员计相应分值的60%的平均值（负责人除外）</w:t>
      </w:r>
      <w:r>
        <w:rPr>
          <w:rFonts w:hint="eastAsia" w:ascii="楷体" w:hAnsi="楷体" w:eastAsia="楷体"/>
          <w:color w:val="auto"/>
          <w:sz w:val="24"/>
        </w:rPr>
        <w:t>；</w:t>
      </w:r>
      <w:r>
        <w:rPr>
          <w:rFonts w:hint="eastAsia" w:ascii="楷体" w:hAnsi="楷体" w:eastAsia="楷体"/>
          <w:color w:val="auto"/>
          <w:sz w:val="24"/>
          <w:lang w:val="en-US" w:eastAsia="zh-CN"/>
        </w:rPr>
        <w:t>如</w:t>
      </w:r>
      <w:r>
        <w:rPr>
          <w:rFonts w:hint="eastAsia" w:ascii="楷体" w:hAnsi="楷体" w:eastAsia="楷体"/>
          <w:color w:val="auto"/>
          <w:sz w:val="24"/>
        </w:rPr>
        <w:t>排名不分先后，所有获奖成员平均分配加分值。同一项目重复获奖的，按最高类别计算。</w:t>
      </w:r>
    </w:p>
    <w:p w14:paraId="00E33D3B">
      <w:pPr>
        <w:spacing w:line="360" w:lineRule="auto"/>
        <w:ind w:firstLine="480" w:firstLineChars="200"/>
        <w:rPr>
          <w:rFonts w:ascii="楷体" w:hAnsi="楷体" w:eastAsia="楷体"/>
          <w:color w:val="auto"/>
          <w:sz w:val="24"/>
        </w:rPr>
      </w:pPr>
      <w:r>
        <w:rPr>
          <w:rFonts w:hint="eastAsia" w:ascii="楷体" w:hAnsi="楷体" w:eastAsia="楷体"/>
          <w:color w:val="auto"/>
          <w:sz w:val="24"/>
        </w:rPr>
        <w:t>限定为由学院委派参加的与专业高度相关比赛</w:t>
      </w:r>
      <w:r>
        <w:rPr>
          <w:rFonts w:hint="eastAsia" w:ascii="楷体" w:hAnsi="楷体" w:eastAsia="楷体"/>
          <w:color w:val="auto"/>
          <w:sz w:val="24"/>
          <w:lang w:eastAsia="zh-CN"/>
        </w:rPr>
        <w:t>（</w:t>
      </w:r>
      <w:r>
        <w:rPr>
          <w:rFonts w:hint="eastAsia" w:ascii="楷体" w:hAnsi="楷体" w:eastAsia="楷体"/>
          <w:color w:val="auto"/>
          <w:sz w:val="24"/>
        </w:rPr>
        <w:t>仅指</w:t>
      </w:r>
      <w:r>
        <w:rPr>
          <w:rFonts w:hint="eastAsia" w:ascii="楷体" w:hAnsi="楷体" w:eastAsia="楷体"/>
          <w:color w:val="auto"/>
          <w:sz w:val="24"/>
          <w:lang w:val="en-US" w:eastAsia="zh-CN"/>
        </w:rPr>
        <w:t>西北师范大学下发《西北师范大学研究生学科专业竞赛目录》和《西北师范大学研究生学科专业竞赛重点突破赛事》所列竞赛项目</w:t>
      </w:r>
      <w:r>
        <w:rPr>
          <w:rFonts w:hint="eastAsia" w:ascii="楷体" w:hAnsi="楷体" w:eastAsia="楷体"/>
          <w:color w:val="auto"/>
          <w:sz w:val="24"/>
          <w:lang w:eastAsia="zh-CN"/>
        </w:rPr>
        <w:t>）</w:t>
      </w:r>
      <w:r>
        <w:rPr>
          <w:rFonts w:hint="eastAsia" w:ascii="楷体" w:hAnsi="楷体" w:eastAsia="楷体"/>
          <w:color w:val="auto"/>
          <w:sz w:val="24"/>
        </w:rPr>
        <w:t>，不包括民间社团组织的相关比赛</w:t>
      </w:r>
      <w:r>
        <w:rPr>
          <w:rFonts w:hint="eastAsia" w:ascii="楷体" w:hAnsi="楷体" w:eastAsia="楷体"/>
          <w:color w:val="auto"/>
          <w:sz w:val="24"/>
          <w:lang w:eastAsia="zh-CN"/>
        </w:rPr>
        <w:t>；</w:t>
      </w:r>
      <w:r>
        <w:rPr>
          <w:rFonts w:hint="eastAsia" w:ascii="楷体" w:hAnsi="楷体" w:eastAsia="楷体"/>
          <w:color w:val="auto"/>
          <w:sz w:val="24"/>
          <w:lang w:val="en-US" w:eastAsia="zh-CN"/>
        </w:rPr>
        <w:t>科研成果获奖截止时间为当年8月31日前</w:t>
      </w:r>
      <w:r>
        <w:rPr>
          <w:rFonts w:hint="eastAsia" w:ascii="楷体" w:hAnsi="楷体" w:eastAsia="楷体"/>
          <w:color w:val="auto"/>
          <w:sz w:val="24"/>
        </w:rPr>
        <w:t>。</w:t>
      </w:r>
    </w:p>
    <w:p w14:paraId="6F4C2A3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学术活动</w:t>
      </w:r>
    </w:p>
    <w:p w14:paraId="712F46E9">
      <w:pPr>
        <w:spacing w:line="360" w:lineRule="auto"/>
        <w:ind w:firstLine="723" w:firstLineChars="300"/>
        <w:rPr>
          <w:rFonts w:ascii="宋体"/>
          <w:b/>
          <w:color w:val="auto"/>
          <w:sz w:val="24"/>
        </w:rPr>
      </w:pPr>
      <w:r>
        <w:rPr>
          <w:rFonts w:hint="eastAsia" w:ascii="宋体"/>
          <w:b/>
          <w:color w:val="auto"/>
          <w:sz w:val="24"/>
          <w:lang w:eastAsia="zh-CN"/>
        </w:rPr>
        <w:t>（</w:t>
      </w:r>
      <w:r>
        <w:rPr>
          <w:rFonts w:hint="eastAsia" w:ascii="宋体"/>
          <w:b/>
          <w:color w:val="auto"/>
          <w:sz w:val="24"/>
          <w:lang w:val="en-US" w:eastAsia="zh-CN"/>
        </w:rPr>
        <w:t>1</w:t>
      </w:r>
      <w:r>
        <w:rPr>
          <w:rFonts w:hint="eastAsia" w:ascii="宋体"/>
          <w:b/>
          <w:color w:val="auto"/>
          <w:sz w:val="24"/>
          <w:lang w:eastAsia="zh-CN"/>
        </w:rPr>
        <w:t>）</w:t>
      </w:r>
      <w:r>
        <w:rPr>
          <w:rFonts w:hint="eastAsia" w:ascii="宋体"/>
          <w:b/>
          <w:color w:val="auto"/>
          <w:sz w:val="24"/>
          <w:lang w:val="en-US" w:eastAsia="zh-CN"/>
        </w:rPr>
        <w:t>教育科学</w:t>
      </w:r>
      <w:r>
        <w:rPr>
          <w:rFonts w:hint="eastAsia" w:ascii="宋体"/>
          <w:b/>
          <w:color w:val="auto"/>
          <w:sz w:val="24"/>
        </w:rPr>
        <w:t>学院</w:t>
      </w:r>
      <w:r>
        <w:rPr>
          <w:rFonts w:hint="eastAsia" w:ascii="宋体"/>
          <w:b/>
          <w:color w:val="auto"/>
          <w:sz w:val="24"/>
          <w:lang w:eastAsia="zh-CN"/>
        </w:rPr>
        <w:t>、</w:t>
      </w:r>
      <w:r>
        <w:rPr>
          <w:rFonts w:hint="eastAsia" w:ascii="宋体"/>
          <w:b/>
          <w:color w:val="auto"/>
          <w:sz w:val="24"/>
          <w:lang w:val="en-US" w:eastAsia="zh-CN"/>
        </w:rPr>
        <w:t>教师教育学院</w:t>
      </w:r>
      <w:r>
        <w:rPr>
          <w:rFonts w:hint="eastAsia" w:ascii="宋体"/>
          <w:b/>
          <w:color w:val="auto"/>
          <w:sz w:val="24"/>
        </w:rPr>
        <w:t>学术论文报告会</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13"/>
        <w:gridCol w:w="1365"/>
        <w:gridCol w:w="1529"/>
      </w:tblGrid>
      <w:tr w14:paraId="3745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02" w:type="dxa"/>
            <w:vAlign w:val="center"/>
          </w:tcPr>
          <w:p w14:paraId="68984C2C">
            <w:pPr>
              <w:spacing w:line="360" w:lineRule="auto"/>
              <w:jc w:val="center"/>
              <w:rPr>
                <w:rFonts w:ascii="宋体" w:hAnsi="宋体"/>
                <w:color w:val="auto"/>
                <w:kern w:val="0"/>
                <w:szCs w:val="21"/>
              </w:rPr>
            </w:pPr>
            <w:r>
              <w:rPr>
                <w:rFonts w:hint="eastAsia" w:ascii="宋体" w:hAnsi="宋体"/>
                <w:color w:val="auto"/>
                <w:kern w:val="0"/>
                <w:szCs w:val="21"/>
              </w:rPr>
              <w:t>奖励级别</w:t>
            </w:r>
          </w:p>
        </w:tc>
        <w:tc>
          <w:tcPr>
            <w:tcW w:w="1413" w:type="dxa"/>
            <w:vAlign w:val="center"/>
          </w:tcPr>
          <w:p w14:paraId="6626E607">
            <w:pPr>
              <w:spacing w:line="360" w:lineRule="auto"/>
              <w:jc w:val="center"/>
              <w:rPr>
                <w:rFonts w:ascii="宋体" w:hAnsi="宋体"/>
                <w:color w:val="auto"/>
                <w:kern w:val="0"/>
                <w:szCs w:val="21"/>
              </w:rPr>
            </w:pPr>
            <w:r>
              <w:rPr>
                <w:rFonts w:hint="eastAsia" w:ascii="宋体" w:hAnsi="宋体"/>
                <w:color w:val="auto"/>
                <w:kern w:val="0"/>
                <w:szCs w:val="21"/>
              </w:rPr>
              <w:t>一等</w:t>
            </w:r>
          </w:p>
        </w:tc>
        <w:tc>
          <w:tcPr>
            <w:tcW w:w="1365" w:type="dxa"/>
            <w:vAlign w:val="center"/>
          </w:tcPr>
          <w:p w14:paraId="62D30291">
            <w:pPr>
              <w:spacing w:line="360" w:lineRule="auto"/>
              <w:jc w:val="center"/>
              <w:rPr>
                <w:rFonts w:ascii="宋体" w:hAnsi="宋体"/>
                <w:color w:val="auto"/>
                <w:kern w:val="0"/>
                <w:szCs w:val="21"/>
              </w:rPr>
            </w:pPr>
            <w:r>
              <w:rPr>
                <w:rFonts w:hint="eastAsia" w:ascii="宋体" w:hAnsi="宋体"/>
                <w:color w:val="auto"/>
                <w:kern w:val="0"/>
                <w:szCs w:val="21"/>
              </w:rPr>
              <w:t>二等</w:t>
            </w:r>
          </w:p>
        </w:tc>
        <w:tc>
          <w:tcPr>
            <w:tcW w:w="1529" w:type="dxa"/>
            <w:vAlign w:val="center"/>
          </w:tcPr>
          <w:p w14:paraId="78211419">
            <w:pPr>
              <w:widowControl/>
              <w:spacing w:line="360" w:lineRule="auto"/>
              <w:jc w:val="center"/>
              <w:rPr>
                <w:rFonts w:ascii="宋体" w:hAnsi="宋体"/>
                <w:color w:val="auto"/>
                <w:kern w:val="0"/>
                <w:szCs w:val="21"/>
              </w:rPr>
            </w:pPr>
            <w:r>
              <w:rPr>
                <w:rFonts w:hint="eastAsia" w:ascii="宋体" w:hAnsi="宋体"/>
                <w:color w:val="auto"/>
                <w:kern w:val="0"/>
                <w:szCs w:val="21"/>
              </w:rPr>
              <w:t>三等（或优秀）</w:t>
            </w:r>
          </w:p>
        </w:tc>
      </w:tr>
      <w:tr w14:paraId="2886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302" w:type="dxa"/>
            <w:vAlign w:val="center"/>
          </w:tcPr>
          <w:p w14:paraId="6C4D93B6">
            <w:pPr>
              <w:spacing w:line="360" w:lineRule="auto"/>
              <w:jc w:val="center"/>
              <w:rPr>
                <w:rFonts w:ascii="宋体" w:hAnsi="宋体"/>
                <w:color w:val="auto"/>
                <w:kern w:val="0"/>
                <w:szCs w:val="21"/>
              </w:rPr>
            </w:pPr>
            <w:r>
              <w:rPr>
                <w:rFonts w:hint="eastAsia" w:ascii="宋体" w:hAnsi="宋体"/>
                <w:color w:val="auto"/>
                <w:kern w:val="0"/>
                <w:szCs w:val="21"/>
              </w:rPr>
              <w:t>分值</w:t>
            </w:r>
          </w:p>
        </w:tc>
        <w:tc>
          <w:tcPr>
            <w:tcW w:w="1413" w:type="dxa"/>
            <w:vAlign w:val="center"/>
          </w:tcPr>
          <w:p w14:paraId="02910852">
            <w:pPr>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8</w:t>
            </w:r>
          </w:p>
        </w:tc>
        <w:tc>
          <w:tcPr>
            <w:tcW w:w="1365" w:type="dxa"/>
            <w:vAlign w:val="center"/>
          </w:tcPr>
          <w:p w14:paraId="30549718">
            <w:pPr>
              <w:spacing w:line="360" w:lineRule="auto"/>
              <w:ind w:firstLine="210" w:firstLineChars="100"/>
              <w:jc w:val="center"/>
              <w:rPr>
                <w:rFonts w:ascii="宋体" w:hAnsi="宋体"/>
                <w:color w:val="auto"/>
                <w:kern w:val="0"/>
                <w:szCs w:val="21"/>
              </w:rPr>
            </w:pPr>
            <w:r>
              <w:rPr>
                <w:rFonts w:hint="eastAsia" w:ascii="宋体" w:hAnsi="宋体"/>
                <w:color w:val="auto"/>
                <w:kern w:val="0"/>
                <w:szCs w:val="21"/>
              </w:rPr>
              <w:t>6</w:t>
            </w:r>
          </w:p>
        </w:tc>
        <w:tc>
          <w:tcPr>
            <w:tcW w:w="1529" w:type="dxa"/>
            <w:vAlign w:val="center"/>
          </w:tcPr>
          <w:p w14:paraId="4E52A72D">
            <w:pPr>
              <w:widowControl/>
              <w:spacing w:line="360" w:lineRule="auto"/>
              <w:jc w:val="center"/>
              <w:rPr>
                <w:rFonts w:ascii="宋体" w:hAnsi="宋体"/>
                <w:color w:val="auto"/>
                <w:kern w:val="0"/>
                <w:szCs w:val="21"/>
              </w:rPr>
            </w:pPr>
            <w:r>
              <w:rPr>
                <w:rFonts w:hint="eastAsia" w:ascii="宋体" w:hAnsi="宋体"/>
                <w:color w:val="auto"/>
                <w:kern w:val="0"/>
                <w:szCs w:val="21"/>
              </w:rPr>
              <w:t>4</w:t>
            </w:r>
          </w:p>
        </w:tc>
      </w:tr>
    </w:tbl>
    <w:p w14:paraId="323A582C">
      <w:pPr>
        <w:spacing w:line="360" w:lineRule="auto"/>
        <w:ind w:firstLine="723" w:firstLineChars="300"/>
        <w:rPr>
          <w:rFonts w:ascii="宋体"/>
          <w:b/>
          <w:color w:val="auto"/>
          <w:sz w:val="24"/>
        </w:rPr>
      </w:pPr>
      <w:r>
        <w:rPr>
          <w:rFonts w:hint="eastAsia" w:ascii="宋体"/>
          <w:b/>
          <w:color w:val="auto"/>
          <w:sz w:val="24"/>
          <w:lang w:eastAsia="zh-CN"/>
        </w:rPr>
        <w:t>（</w:t>
      </w:r>
      <w:r>
        <w:rPr>
          <w:rFonts w:hint="eastAsia" w:ascii="宋体"/>
          <w:b/>
          <w:color w:val="auto"/>
          <w:sz w:val="24"/>
          <w:lang w:val="en-US" w:eastAsia="zh-CN"/>
        </w:rPr>
        <w:t>2</w:t>
      </w:r>
      <w:r>
        <w:rPr>
          <w:rFonts w:hint="eastAsia" w:ascii="宋体"/>
          <w:b/>
          <w:color w:val="auto"/>
          <w:sz w:val="24"/>
          <w:lang w:eastAsia="zh-CN"/>
        </w:rPr>
        <w:t>）</w:t>
      </w:r>
      <w:r>
        <w:rPr>
          <w:rFonts w:hint="eastAsia" w:ascii="宋体"/>
          <w:b/>
          <w:color w:val="auto"/>
          <w:sz w:val="24"/>
        </w:rPr>
        <w:t>学术年会或其他重要会议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263"/>
        <w:gridCol w:w="2267"/>
        <w:gridCol w:w="2267"/>
      </w:tblGrid>
      <w:tr w14:paraId="64C0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9" w:type="dxa"/>
            <w:vAlign w:val="center"/>
          </w:tcPr>
          <w:p w14:paraId="5B68FFC4">
            <w:pPr>
              <w:spacing w:line="360" w:lineRule="auto"/>
              <w:jc w:val="center"/>
              <w:rPr>
                <w:rFonts w:ascii="宋体" w:hAnsi="宋体"/>
                <w:color w:val="auto"/>
                <w:kern w:val="0"/>
                <w:szCs w:val="21"/>
              </w:rPr>
            </w:pPr>
            <w:r>
              <w:rPr>
                <w:rFonts w:hint="eastAsia" w:ascii="宋体" w:hAnsi="宋体"/>
                <w:color w:val="auto"/>
                <w:kern w:val="0"/>
                <w:szCs w:val="21"/>
              </w:rPr>
              <w:t>会议级别</w:t>
            </w:r>
          </w:p>
        </w:tc>
        <w:tc>
          <w:tcPr>
            <w:tcW w:w="2263" w:type="dxa"/>
            <w:vAlign w:val="center"/>
          </w:tcPr>
          <w:p w14:paraId="5152EABF">
            <w:pPr>
              <w:spacing w:line="360" w:lineRule="auto"/>
              <w:jc w:val="center"/>
              <w:rPr>
                <w:rFonts w:ascii="宋体" w:hAnsi="宋体"/>
                <w:color w:val="auto"/>
                <w:kern w:val="0"/>
                <w:szCs w:val="21"/>
              </w:rPr>
            </w:pPr>
            <w:r>
              <w:rPr>
                <w:rFonts w:hint="eastAsia" w:ascii="宋体" w:hAnsi="宋体"/>
                <w:color w:val="auto"/>
                <w:kern w:val="0"/>
                <w:szCs w:val="21"/>
              </w:rPr>
              <w:t>国家级</w:t>
            </w:r>
          </w:p>
        </w:tc>
        <w:tc>
          <w:tcPr>
            <w:tcW w:w="2267" w:type="dxa"/>
            <w:vAlign w:val="center"/>
          </w:tcPr>
          <w:p w14:paraId="149ACEC0">
            <w:pPr>
              <w:spacing w:line="360" w:lineRule="auto"/>
              <w:jc w:val="center"/>
              <w:rPr>
                <w:rFonts w:ascii="宋体" w:hAnsi="宋体"/>
                <w:color w:val="auto"/>
                <w:kern w:val="0"/>
                <w:szCs w:val="21"/>
              </w:rPr>
            </w:pPr>
            <w:r>
              <w:rPr>
                <w:rFonts w:hint="eastAsia" w:ascii="宋体" w:hAnsi="宋体"/>
                <w:color w:val="auto"/>
                <w:kern w:val="0"/>
                <w:szCs w:val="21"/>
              </w:rPr>
              <w:t>省级</w:t>
            </w:r>
          </w:p>
        </w:tc>
        <w:tc>
          <w:tcPr>
            <w:tcW w:w="2267" w:type="dxa"/>
            <w:vAlign w:val="center"/>
          </w:tcPr>
          <w:p w14:paraId="27D27184">
            <w:pPr>
              <w:spacing w:line="360" w:lineRule="auto"/>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校级</w:t>
            </w:r>
          </w:p>
        </w:tc>
      </w:tr>
      <w:tr w14:paraId="31BF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9" w:type="dxa"/>
            <w:vAlign w:val="center"/>
          </w:tcPr>
          <w:p w14:paraId="6FD925D5">
            <w:pPr>
              <w:spacing w:line="360" w:lineRule="auto"/>
              <w:jc w:val="center"/>
              <w:rPr>
                <w:rFonts w:ascii="宋体" w:hAnsi="宋体"/>
                <w:color w:val="auto"/>
                <w:kern w:val="0"/>
                <w:szCs w:val="21"/>
              </w:rPr>
            </w:pPr>
            <w:r>
              <w:rPr>
                <w:rFonts w:hint="eastAsia" w:ascii="宋体" w:hAnsi="宋体"/>
                <w:color w:val="auto"/>
                <w:kern w:val="0"/>
                <w:szCs w:val="21"/>
              </w:rPr>
              <w:t>独立作者</w:t>
            </w:r>
          </w:p>
        </w:tc>
        <w:tc>
          <w:tcPr>
            <w:tcW w:w="2263" w:type="dxa"/>
            <w:vAlign w:val="center"/>
          </w:tcPr>
          <w:p w14:paraId="6B87BE3B">
            <w:pPr>
              <w:spacing w:line="360" w:lineRule="auto"/>
              <w:jc w:val="center"/>
              <w:rPr>
                <w:rFonts w:ascii="宋体" w:hAnsi="宋体"/>
                <w:color w:val="auto"/>
                <w:kern w:val="0"/>
                <w:szCs w:val="21"/>
              </w:rPr>
            </w:pPr>
            <w:r>
              <w:rPr>
                <w:rFonts w:hint="eastAsia" w:ascii="宋体" w:hAnsi="宋体"/>
                <w:color w:val="auto"/>
                <w:kern w:val="0"/>
                <w:szCs w:val="21"/>
              </w:rPr>
              <w:t>15</w:t>
            </w:r>
          </w:p>
        </w:tc>
        <w:tc>
          <w:tcPr>
            <w:tcW w:w="2267" w:type="dxa"/>
            <w:vAlign w:val="center"/>
          </w:tcPr>
          <w:p w14:paraId="04509693">
            <w:pPr>
              <w:spacing w:line="360" w:lineRule="auto"/>
              <w:ind w:firstLine="210" w:firstLineChars="100"/>
              <w:jc w:val="center"/>
              <w:rPr>
                <w:rFonts w:ascii="宋体" w:hAnsi="宋体"/>
                <w:color w:val="auto"/>
                <w:kern w:val="0"/>
                <w:szCs w:val="21"/>
              </w:rPr>
            </w:pPr>
            <w:r>
              <w:rPr>
                <w:rFonts w:hint="eastAsia" w:ascii="宋体" w:hAnsi="宋体"/>
                <w:color w:val="auto"/>
                <w:kern w:val="0"/>
                <w:szCs w:val="21"/>
              </w:rPr>
              <w:t>8</w:t>
            </w:r>
          </w:p>
        </w:tc>
        <w:tc>
          <w:tcPr>
            <w:tcW w:w="2267" w:type="dxa"/>
            <w:vAlign w:val="center"/>
          </w:tcPr>
          <w:p w14:paraId="4D73B6EE">
            <w:pPr>
              <w:spacing w:line="360" w:lineRule="auto"/>
              <w:ind w:firstLine="210" w:firstLineChars="100"/>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5</w:t>
            </w:r>
          </w:p>
        </w:tc>
      </w:tr>
      <w:tr w14:paraId="62E3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9" w:type="dxa"/>
            <w:vAlign w:val="center"/>
          </w:tcPr>
          <w:p w14:paraId="3F6DFA9F">
            <w:pPr>
              <w:spacing w:line="360" w:lineRule="auto"/>
              <w:jc w:val="center"/>
              <w:rPr>
                <w:rFonts w:ascii="宋体" w:hAnsi="宋体"/>
                <w:color w:val="auto"/>
                <w:kern w:val="0"/>
                <w:szCs w:val="21"/>
              </w:rPr>
            </w:pPr>
            <w:r>
              <w:rPr>
                <w:rFonts w:hint="eastAsia" w:ascii="宋体" w:hAnsi="宋体"/>
                <w:color w:val="auto"/>
                <w:kern w:val="0"/>
                <w:szCs w:val="21"/>
              </w:rPr>
              <w:t>第一作者</w:t>
            </w:r>
          </w:p>
        </w:tc>
        <w:tc>
          <w:tcPr>
            <w:tcW w:w="2263" w:type="dxa"/>
            <w:vAlign w:val="center"/>
          </w:tcPr>
          <w:p w14:paraId="0C1C5072">
            <w:pPr>
              <w:spacing w:line="360" w:lineRule="auto"/>
              <w:jc w:val="center"/>
              <w:rPr>
                <w:rFonts w:ascii="宋体" w:hAnsi="宋体"/>
                <w:color w:val="auto"/>
                <w:kern w:val="0"/>
                <w:szCs w:val="21"/>
              </w:rPr>
            </w:pPr>
            <w:r>
              <w:rPr>
                <w:rFonts w:hint="eastAsia" w:ascii="宋体" w:hAnsi="宋体"/>
                <w:color w:val="auto"/>
                <w:kern w:val="0"/>
                <w:szCs w:val="21"/>
              </w:rPr>
              <w:t>12</w:t>
            </w:r>
          </w:p>
        </w:tc>
        <w:tc>
          <w:tcPr>
            <w:tcW w:w="2267" w:type="dxa"/>
            <w:vAlign w:val="center"/>
          </w:tcPr>
          <w:p w14:paraId="206329E4">
            <w:pPr>
              <w:spacing w:line="360" w:lineRule="auto"/>
              <w:ind w:firstLine="210" w:firstLineChars="100"/>
              <w:jc w:val="center"/>
              <w:rPr>
                <w:rFonts w:ascii="宋体" w:hAnsi="宋体"/>
                <w:color w:val="auto"/>
                <w:kern w:val="0"/>
                <w:szCs w:val="21"/>
              </w:rPr>
            </w:pPr>
            <w:r>
              <w:rPr>
                <w:rFonts w:hint="eastAsia" w:ascii="宋体" w:hAnsi="宋体"/>
                <w:color w:val="auto"/>
                <w:kern w:val="0"/>
                <w:szCs w:val="21"/>
              </w:rPr>
              <w:t>6</w:t>
            </w:r>
          </w:p>
        </w:tc>
        <w:tc>
          <w:tcPr>
            <w:tcW w:w="2267" w:type="dxa"/>
            <w:vAlign w:val="center"/>
          </w:tcPr>
          <w:p w14:paraId="7656D159">
            <w:pPr>
              <w:spacing w:line="360" w:lineRule="auto"/>
              <w:ind w:firstLine="210" w:firstLineChars="100"/>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3</w:t>
            </w:r>
          </w:p>
        </w:tc>
      </w:tr>
      <w:tr w14:paraId="521B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9" w:type="dxa"/>
            <w:vAlign w:val="center"/>
          </w:tcPr>
          <w:p w14:paraId="0E2004F0">
            <w:pPr>
              <w:spacing w:line="360" w:lineRule="auto"/>
              <w:jc w:val="center"/>
              <w:rPr>
                <w:rFonts w:ascii="宋体" w:hAnsi="宋体"/>
                <w:color w:val="auto"/>
                <w:kern w:val="0"/>
                <w:szCs w:val="21"/>
              </w:rPr>
            </w:pPr>
            <w:r>
              <w:rPr>
                <w:rFonts w:hint="eastAsia" w:ascii="宋体" w:hAnsi="宋体"/>
                <w:color w:val="auto"/>
                <w:kern w:val="0"/>
                <w:szCs w:val="21"/>
              </w:rPr>
              <w:t>第二作者</w:t>
            </w:r>
          </w:p>
        </w:tc>
        <w:tc>
          <w:tcPr>
            <w:tcW w:w="2263" w:type="dxa"/>
            <w:vAlign w:val="center"/>
          </w:tcPr>
          <w:p w14:paraId="765E198B">
            <w:pPr>
              <w:spacing w:line="360" w:lineRule="auto"/>
              <w:jc w:val="center"/>
              <w:rPr>
                <w:rFonts w:hint="eastAsia" w:ascii="宋体" w:hAnsi="宋体" w:eastAsia="宋体"/>
                <w:color w:val="auto"/>
                <w:kern w:val="0"/>
                <w:szCs w:val="21"/>
                <w:lang w:eastAsia="zh-CN"/>
              </w:rPr>
            </w:pPr>
            <w:r>
              <w:rPr>
                <w:rFonts w:hint="eastAsia" w:ascii="宋体" w:hAnsi="宋体"/>
                <w:color w:val="auto"/>
                <w:kern w:val="0"/>
                <w:szCs w:val="21"/>
                <w:lang w:val="en-US" w:eastAsia="zh-CN"/>
              </w:rPr>
              <w:t>9</w:t>
            </w:r>
          </w:p>
        </w:tc>
        <w:tc>
          <w:tcPr>
            <w:tcW w:w="2267" w:type="dxa"/>
            <w:vAlign w:val="center"/>
          </w:tcPr>
          <w:p w14:paraId="1077D4CD">
            <w:pPr>
              <w:spacing w:line="360" w:lineRule="auto"/>
              <w:ind w:firstLine="210" w:firstLineChars="100"/>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4</w:t>
            </w:r>
          </w:p>
        </w:tc>
        <w:tc>
          <w:tcPr>
            <w:tcW w:w="2267" w:type="dxa"/>
            <w:vAlign w:val="center"/>
          </w:tcPr>
          <w:p w14:paraId="0561B0F3">
            <w:pPr>
              <w:spacing w:line="360" w:lineRule="auto"/>
              <w:ind w:firstLine="210" w:firstLineChars="100"/>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2</w:t>
            </w:r>
          </w:p>
        </w:tc>
      </w:tr>
    </w:tbl>
    <w:p w14:paraId="068853A1">
      <w:pPr>
        <w:spacing w:line="360" w:lineRule="auto"/>
        <w:ind w:firstLine="480" w:firstLineChars="200"/>
        <w:rPr>
          <w:rFonts w:hint="default" w:ascii="楷体" w:hAnsi="楷体" w:eastAsia="楷体"/>
          <w:color w:val="auto"/>
          <w:sz w:val="24"/>
          <w:lang w:val="en-US" w:eastAsia="zh-CN"/>
        </w:rPr>
      </w:pPr>
      <w:r>
        <w:rPr>
          <w:rFonts w:hint="eastAsia" w:ascii="楷体" w:hAnsi="楷体" w:eastAsia="楷体"/>
          <w:color w:val="auto"/>
          <w:sz w:val="24"/>
        </w:rPr>
        <w:t>注：</w:t>
      </w:r>
      <w:r>
        <w:rPr>
          <w:rFonts w:hint="eastAsia" w:ascii="楷体" w:hAnsi="楷体" w:eastAsia="楷体"/>
          <w:color w:val="auto"/>
          <w:sz w:val="24"/>
          <w:lang w:val="en-US" w:eastAsia="zh-CN"/>
        </w:rPr>
        <w:t>会议级别根据主办单位级别认定。</w:t>
      </w:r>
      <w:r>
        <w:rPr>
          <w:rFonts w:hint="eastAsia" w:ascii="楷体" w:hAnsi="楷体" w:eastAsia="楷体"/>
          <w:color w:val="auto"/>
          <w:sz w:val="24"/>
        </w:rPr>
        <w:t>研究生参加本专业学术年会，提交并在会议上公开发表论文。要求研究生为论文第一作者(或导师为第一作者、研究生为第二作者)且以我校为第一署名单位。须提交由导师签字确认的会议论文集、研究生发言照片和会议日程共三项材料为依据</w:t>
      </w:r>
      <w:r>
        <w:rPr>
          <w:rFonts w:hint="eastAsia" w:ascii="楷体" w:hAnsi="楷体" w:eastAsia="楷体"/>
          <w:color w:val="auto"/>
          <w:sz w:val="24"/>
          <w:lang w:eastAsia="zh-CN"/>
        </w:rPr>
        <w:t>，</w:t>
      </w:r>
      <w:r>
        <w:rPr>
          <w:rFonts w:hint="eastAsia" w:ascii="楷体" w:hAnsi="楷体" w:eastAsia="楷体"/>
          <w:color w:val="auto"/>
          <w:sz w:val="24"/>
          <w:lang w:val="en-US" w:eastAsia="zh-CN"/>
        </w:rPr>
        <w:t>以上材料提交不全不予认定</w:t>
      </w:r>
      <w:r>
        <w:rPr>
          <w:rFonts w:hint="eastAsia" w:ascii="楷体" w:hAnsi="楷体" w:eastAsia="楷体"/>
          <w:color w:val="auto"/>
          <w:sz w:val="24"/>
        </w:rPr>
        <w:t>。</w:t>
      </w:r>
      <w:r>
        <w:rPr>
          <w:rFonts w:hint="eastAsia" w:ascii="楷体" w:hAnsi="楷体" w:eastAsia="楷体"/>
          <w:color w:val="auto"/>
          <w:sz w:val="24"/>
          <w:lang w:val="en-US" w:eastAsia="zh-CN"/>
        </w:rPr>
        <w:t>参加两次以上学术会议就高加两次会议的相应分值。</w:t>
      </w:r>
    </w:p>
    <w:p w14:paraId="7181EAD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color w:val="auto"/>
          <w:kern w:val="0"/>
          <w:sz w:val="24"/>
        </w:rPr>
      </w:pPr>
      <w:r>
        <w:rPr>
          <w:rFonts w:hint="eastAsia" w:ascii="宋体" w:hAnsi="宋体" w:cs="宋体"/>
          <w:b/>
          <w:color w:val="auto"/>
          <w:kern w:val="0"/>
          <w:sz w:val="28"/>
          <w:szCs w:val="28"/>
        </w:rPr>
        <w:t>第十三条</w:t>
      </w:r>
      <w:r>
        <w:rPr>
          <w:rFonts w:hint="eastAsia" w:ascii="宋体"/>
          <w:b/>
          <w:color w:val="auto"/>
          <w:sz w:val="24"/>
        </w:rPr>
        <w:t xml:space="preserve"> </w:t>
      </w:r>
      <w:r>
        <w:rPr>
          <w:rFonts w:hint="eastAsia" w:ascii="宋体" w:hAnsi="宋体" w:cs="宋体"/>
          <w:color w:val="auto"/>
          <w:kern w:val="0"/>
          <w:sz w:val="24"/>
        </w:rPr>
        <w:t xml:space="preserve"> 综合表现</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体美劳</w:t>
      </w:r>
      <w:r>
        <w:rPr>
          <w:rFonts w:hint="eastAsia" w:ascii="宋体" w:hAnsi="宋体" w:cs="宋体"/>
          <w:color w:val="auto"/>
          <w:kern w:val="0"/>
          <w:sz w:val="24"/>
          <w:lang w:eastAsia="zh-CN"/>
        </w:rPr>
        <w:t>）</w:t>
      </w:r>
      <w:r>
        <w:rPr>
          <w:rFonts w:hint="eastAsia" w:ascii="宋体" w:hAnsi="宋体" w:cs="宋体"/>
          <w:color w:val="auto"/>
          <w:kern w:val="0"/>
          <w:sz w:val="24"/>
        </w:rPr>
        <w:t>加分</w:t>
      </w:r>
    </w:p>
    <w:p w14:paraId="106D8982">
      <w:pPr>
        <w:spacing w:line="360" w:lineRule="auto"/>
        <w:ind w:firstLine="480" w:firstLineChars="200"/>
        <w:rPr>
          <w:rFonts w:ascii="宋体"/>
          <w:b/>
          <w:color w:val="auto"/>
          <w:sz w:val="24"/>
        </w:rPr>
      </w:pPr>
      <w:r>
        <w:rPr>
          <w:rFonts w:hint="eastAsia" w:ascii="宋体" w:hAnsi="宋体" w:cs="宋体"/>
          <w:color w:val="auto"/>
          <w:kern w:val="0"/>
          <w:sz w:val="24"/>
          <w:lang w:bidi="ar"/>
        </w:rPr>
        <w:t>（</w:t>
      </w:r>
      <w:r>
        <w:rPr>
          <w:rFonts w:hint="eastAsia" w:ascii="宋体" w:hAnsi="宋体" w:cs="宋体"/>
          <w:color w:val="auto"/>
          <w:kern w:val="0"/>
          <w:sz w:val="24"/>
          <w:lang w:val="en-US" w:eastAsia="zh-CN" w:bidi="ar"/>
        </w:rPr>
        <w:t>一</w:t>
      </w:r>
      <w:r>
        <w:rPr>
          <w:rFonts w:hint="eastAsia" w:ascii="宋体" w:hAnsi="宋体" w:cs="宋体"/>
          <w:color w:val="auto"/>
          <w:kern w:val="0"/>
          <w:sz w:val="24"/>
          <w:lang w:bidi="ar"/>
        </w:rPr>
        <w:t>）实践活动</w:t>
      </w:r>
      <w:r>
        <w:rPr>
          <w:rFonts w:hint="eastAsia" w:ascii="宋体" w:hAnsi="宋体" w:cs="宋体"/>
          <w:color w:val="auto"/>
          <w:kern w:val="0"/>
          <w:sz w:val="24"/>
          <w:lang w:val="en-US" w:eastAsia="zh-CN" w:bidi="ar"/>
        </w:rPr>
        <w:t>加分</w:t>
      </w:r>
      <w:r>
        <w:rPr>
          <w:rFonts w:hint="eastAsia" w:ascii="宋体"/>
          <w:b/>
          <w:color w:val="auto"/>
          <w:sz w:val="24"/>
        </w:rPr>
        <w:t xml:space="preserve">   </w:t>
      </w:r>
    </w:p>
    <w:tbl>
      <w:tblPr>
        <w:tblStyle w:val="5"/>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1070"/>
        <w:gridCol w:w="984"/>
        <w:gridCol w:w="1070"/>
        <w:gridCol w:w="1415"/>
      </w:tblGrid>
      <w:tr w14:paraId="1501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14:paraId="5188CCF7">
            <w:pPr>
              <w:spacing w:line="360" w:lineRule="auto"/>
              <w:jc w:val="center"/>
              <w:rPr>
                <w:rFonts w:ascii="楷体" w:hAnsi="楷体" w:eastAsia="楷体"/>
                <w:color w:val="auto"/>
                <w:sz w:val="24"/>
              </w:rPr>
            </w:pPr>
            <w:r>
              <w:rPr>
                <w:rFonts w:hint="eastAsia" w:ascii="楷体" w:hAnsi="楷体" w:eastAsia="楷体"/>
                <w:color w:val="auto"/>
                <w:sz w:val="24"/>
              </w:rPr>
              <w:t>获奖等级</w:t>
            </w:r>
          </w:p>
        </w:tc>
        <w:tc>
          <w:tcPr>
            <w:tcW w:w="1070" w:type="dxa"/>
          </w:tcPr>
          <w:p w14:paraId="5F443256">
            <w:pPr>
              <w:spacing w:line="360" w:lineRule="auto"/>
              <w:rPr>
                <w:rFonts w:ascii="楷体" w:hAnsi="楷体" w:eastAsia="楷体"/>
                <w:color w:val="auto"/>
                <w:sz w:val="24"/>
              </w:rPr>
            </w:pPr>
            <w:r>
              <w:rPr>
                <w:rFonts w:hint="eastAsia" w:ascii="楷体" w:hAnsi="楷体" w:eastAsia="楷体"/>
                <w:color w:val="auto"/>
                <w:sz w:val="24"/>
              </w:rPr>
              <w:t>国家级</w:t>
            </w:r>
          </w:p>
        </w:tc>
        <w:tc>
          <w:tcPr>
            <w:tcW w:w="984" w:type="dxa"/>
          </w:tcPr>
          <w:p w14:paraId="58BA1A49">
            <w:pPr>
              <w:spacing w:line="360" w:lineRule="auto"/>
              <w:rPr>
                <w:rFonts w:ascii="楷体" w:hAnsi="楷体" w:eastAsia="楷体"/>
                <w:color w:val="auto"/>
                <w:sz w:val="24"/>
              </w:rPr>
            </w:pPr>
            <w:r>
              <w:rPr>
                <w:rFonts w:hint="eastAsia" w:ascii="楷体" w:hAnsi="楷体" w:eastAsia="楷体"/>
                <w:color w:val="auto"/>
                <w:sz w:val="24"/>
              </w:rPr>
              <w:t>省部级</w:t>
            </w:r>
          </w:p>
        </w:tc>
        <w:tc>
          <w:tcPr>
            <w:tcW w:w="1070" w:type="dxa"/>
          </w:tcPr>
          <w:p w14:paraId="267134A8">
            <w:pPr>
              <w:spacing w:line="360" w:lineRule="auto"/>
              <w:jc w:val="center"/>
              <w:rPr>
                <w:rFonts w:ascii="楷体" w:hAnsi="楷体" w:eastAsia="楷体"/>
                <w:color w:val="auto"/>
                <w:sz w:val="24"/>
              </w:rPr>
            </w:pPr>
            <w:r>
              <w:rPr>
                <w:rFonts w:hint="eastAsia" w:ascii="楷体" w:hAnsi="楷体" w:eastAsia="楷体"/>
                <w:color w:val="auto"/>
                <w:sz w:val="24"/>
              </w:rPr>
              <w:t>学校级</w:t>
            </w:r>
          </w:p>
        </w:tc>
        <w:tc>
          <w:tcPr>
            <w:tcW w:w="1415" w:type="dxa"/>
          </w:tcPr>
          <w:p w14:paraId="3EC3BE71">
            <w:pPr>
              <w:spacing w:line="360" w:lineRule="auto"/>
              <w:jc w:val="center"/>
              <w:rPr>
                <w:rFonts w:ascii="楷体" w:hAnsi="楷体" w:eastAsia="楷体"/>
                <w:color w:val="auto"/>
                <w:sz w:val="24"/>
              </w:rPr>
            </w:pPr>
            <w:r>
              <w:rPr>
                <w:rFonts w:hint="eastAsia" w:ascii="楷体" w:hAnsi="楷体" w:eastAsia="楷体"/>
                <w:color w:val="auto"/>
                <w:sz w:val="24"/>
              </w:rPr>
              <w:t>学院级</w:t>
            </w:r>
          </w:p>
        </w:tc>
      </w:tr>
      <w:tr w14:paraId="42EC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14:paraId="6AA2A49A">
            <w:pPr>
              <w:spacing w:line="360" w:lineRule="auto"/>
              <w:jc w:val="center"/>
              <w:rPr>
                <w:rFonts w:ascii="楷体" w:hAnsi="楷体" w:eastAsia="楷体"/>
                <w:color w:val="auto"/>
                <w:sz w:val="24"/>
              </w:rPr>
            </w:pPr>
            <w:r>
              <w:rPr>
                <w:rFonts w:hint="eastAsia" w:ascii="楷体" w:hAnsi="楷体" w:eastAsia="楷体"/>
                <w:color w:val="auto"/>
                <w:sz w:val="24"/>
              </w:rPr>
              <w:t>一等奖</w:t>
            </w:r>
          </w:p>
        </w:tc>
        <w:tc>
          <w:tcPr>
            <w:tcW w:w="1070" w:type="dxa"/>
          </w:tcPr>
          <w:p w14:paraId="4BDC0563">
            <w:pPr>
              <w:spacing w:line="360" w:lineRule="auto"/>
              <w:jc w:val="center"/>
              <w:rPr>
                <w:rFonts w:ascii="楷体" w:hAnsi="楷体" w:eastAsia="楷体"/>
                <w:color w:val="auto"/>
                <w:sz w:val="24"/>
              </w:rPr>
            </w:pPr>
            <w:r>
              <w:rPr>
                <w:rFonts w:hint="eastAsia" w:ascii="楷体" w:hAnsi="楷体" w:eastAsia="楷体"/>
                <w:color w:val="auto"/>
                <w:sz w:val="24"/>
              </w:rPr>
              <w:t>12</w:t>
            </w:r>
          </w:p>
        </w:tc>
        <w:tc>
          <w:tcPr>
            <w:tcW w:w="984" w:type="dxa"/>
          </w:tcPr>
          <w:p w14:paraId="3D62B612">
            <w:pPr>
              <w:spacing w:line="360" w:lineRule="auto"/>
              <w:jc w:val="center"/>
              <w:rPr>
                <w:rFonts w:ascii="楷体" w:hAnsi="楷体" w:eastAsia="楷体"/>
                <w:color w:val="auto"/>
                <w:sz w:val="24"/>
              </w:rPr>
            </w:pPr>
            <w:r>
              <w:rPr>
                <w:rFonts w:hint="eastAsia" w:ascii="楷体" w:hAnsi="楷体" w:eastAsia="楷体"/>
                <w:color w:val="auto"/>
                <w:sz w:val="24"/>
              </w:rPr>
              <w:t>10</w:t>
            </w:r>
          </w:p>
        </w:tc>
        <w:tc>
          <w:tcPr>
            <w:tcW w:w="1070" w:type="dxa"/>
          </w:tcPr>
          <w:p w14:paraId="4A6561FB">
            <w:pPr>
              <w:spacing w:line="360" w:lineRule="auto"/>
              <w:jc w:val="center"/>
              <w:rPr>
                <w:rFonts w:ascii="楷体" w:hAnsi="楷体" w:eastAsia="楷体"/>
                <w:color w:val="auto"/>
                <w:sz w:val="24"/>
              </w:rPr>
            </w:pPr>
            <w:r>
              <w:rPr>
                <w:rFonts w:hint="eastAsia" w:ascii="楷体" w:hAnsi="楷体" w:eastAsia="楷体"/>
                <w:color w:val="auto"/>
                <w:sz w:val="24"/>
              </w:rPr>
              <w:t>6</w:t>
            </w:r>
          </w:p>
        </w:tc>
        <w:tc>
          <w:tcPr>
            <w:tcW w:w="1415" w:type="dxa"/>
          </w:tcPr>
          <w:p w14:paraId="10DBE314">
            <w:pPr>
              <w:spacing w:line="360" w:lineRule="auto"/>
              <w:jc w:val="center"/>
              <w:rPr>
                <w:rFonts w:ascii="楷体" w:hAnsi="楷体" w:eastAsia="楷体"/>
                <w:color w:val="auto"/>
                <w:sz w:val="24"/>
              </w:rPr>
            </w:pPr>
            <w:r>
              <w:rPr>
                <w:rFonts w:hint="eastAsia" w:ascii="楷体" w:hAnsi="楷体" w:eastAsia="楷体"/>
                <w:color w:val="auto"/>
                <w:sz w:val="24"/>
              </w:rPr>
              <w:t>4</w:t>
            </w:r>
          </w:p>
        </w:tc>
      </w:tr>
      <w:tr w14:paraId="364D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14:paraId="5029FF42">
            <w:pPr>
              <w:spacing w:line="360" w:lineRule="auto"/>
              <w:jc w:val="center"/>
              <w:rPr>
                <w:rFonts w:ascii="楷体" w:hAnsi="楷体" w:eastAsia="楷体"/>
                <w:color w:val="auto"/>
                <w:sz w:val="24"/>
              </w:rPr>
            </w:pPr>
            <w:r>
              <w:rPr>
                <w:rFonts w:hint="eastAsia" w:ascii="楷体" w:hAnsi="楷体" w:eastAsia="楷体"/>
                <w:color w:val="auto"/>
                <w:sz w:val="24"/>
              </w:rPr>
              <w:t>二等奖</w:t>
            </w:r>
          </w:p>
        </w:tc>
        <w:tc>
          <w:tcPr>
            <w:tcW w:w="1070" w:type="dxa"/>
          </w:tcPr>
          <w:p w14:paraId="4286A2BC">
            <w:pPr>
              <w:spacing w:line="360" w:lineRule="auto"/>
              <w:jc w:val="center"/>
              <w:rPr>
                <w:rFonts w:ascii="楷体" w:hAnsi="楷体" w:eastAsia="楷体"/>
                <w:color w:val="auto"/>
                <w:sz w:val="24"/>
              </w:rPr>
            </w:pPr>
            <w:r>
              <w:rPr>
                <w:rFonts w:hint="eastAsia" w:ascii="楷体" w:hAnsi="楷体" w:eastAsia="楷体"/>
                <w:color w:val="auto"/>
                <w:sz w:val="24"/>
              </w:rPr>
              <w:t>10</w:t>
            </w:r>
          </w:p>
        </w:tc>
        <w:tc>
          <w:tcPr>
            <w:tcW w:w="984" w:type="dxa"/>
          </w:tcPr>
          <w:p w14:paraId="7C75F0E1">
            <w:pPr>
              <w:spacing w:line="360" w:lineRule="auto"/>
              <w:jc w:val="center"/>
              <w:rPr>
                <w:rFonts w:ascii="楷体" w:hAnsi="楷体" w:eastAsia="楷体"/>
                <w:color w:val="auto"/>
                <w:sz w:val="24"/>
              </w:rPr>
            </w:pPr>
            <w:r>
              <w:rPr>
                <w:rFonts w:hint="eastAsia" w:ascii="楷体" w:hAnsi="楷体" w:eastAsia="楷体"/>
                <w:color w:val="auto"/>
                <w:sz w:val="24"/>
              </w:rPr>
              <w:t>8</w:t>
            </w:r>
          </w:p>
        </w:tc>
        <w:tc>
          <w:tcPr>
            <w:tcW w:w="1070" w:type="dxa"/>
          </w:tcPr>
          <w:p w14:paraId="5146B9A0">
            <w:pPr>
              <w:spacing w:line="360" w:lineRule="auto"/>
              <w:jc w:val="center"/>
              <w:rPr>
                <w:rFonts w:ascii="楷体" w:hAnsi="楷体" w:eastAsia="楷体"/>
                <w:color w:val="auto"/>
                <w:sz w:val="24"/>
              </w:rPr>
            </w:pPr>
            <w:r>
              <w:rPr>
                <w:rFonts w:hint="eastAsia" w:ascii="楷体" w:hAnsi="楷体" w:eastAsia="楷体"/>
                <w:color w:val="auto"/>
                <w:sz w:val="24"/>
              </w:rPr>
              <w:t>4</w:t>
            </w:r>
          </w:p>
        </w:tc>
        <w:tc>
          <w:tcPr>
            <w:tcW w:w="1415" w:type="dxa"/>
          </w:tcPr>
          <w:p w14:paraId="53CC8C71">
            <w:pPr>
              <w:spacing w:line="360" w:lineRule="auto"/>
              <w:jc w:val="center"/>
              <w:rPr>
                <w:rFonts w:ascii="楷体" w:hAnsi="楷体" w:eastAsia="楷体"/>
                <w:color w:val="auto"/>
                <w:sz w:val="24"/>
              </w:rPr>
            </w:pPr>
            <w:r>
              <w:rPr>
                <w:rFonts w:hint="eastAsia" w:ascii="楷体" w:hAnsi="楷体" w:eastAsia="楷体"/>
                <w:color w:val="auto"/>
                <w:sz w:val="24"/>
              </w:rPr>
              <w:t>2</w:t>
            </w:r>
          </w:p>
        </w:tc>
      </w:tr>
      <w:tr w14:paraId="381B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14:paraId="6763AFA0">
            <w:pPr>
              <w:spacing w:line="360" w:lineRule="auto"/>
              <w:jc w:val="center"/>
              <w:rPr>
                <w:rFonts w:ascii="楷体" w:hAnsi="楷体" w:eastAsia="楷体"/>
                <w:color w:val="auto"/>
                <w:sz w:val="24"/>
              </w:rPr>
            </w:pPr>
            <w:r>
              <w:rPr>
                <w:rFonts w:hint="eastAsia" w:ascii="楷体" w:hAnsi="楷体" w:eastAsia="楷体"/>
                <w:color w:val="auto"/>
                <w:sz w:val="24"/>
              </w:rPr>
              <w:t>三等奖（或优秀奖）</w:t>
            </w:r>
          </w:p>
        </w:tc>
        <w:tc>
          <w:tcPr>
            <w:tcW w:w="1070" w:type="dxa"/>
          </w:tcPr>
          <w:p w14:paraId="75BB1B9A">
            <w:pPr>
              <w:spacing w:line="360" w:lineRule="auto"/>
              <w:jc w:val="center"/>
              <w:rPr>
                <w:rFonts w:ascii="楷体" w:hAnsi="楷体" w:eastAsia="楷体"/>
                <w:color w:val="auto"/>
                <w:sz w:val="24"/>
              </w:rPr>
            </w:pPr>
            <w:r>
              <w:rPr>
                <w:rFonts w:hint="eastAsia" w:ascii="楷体" w:hAnsi="楷体" w:eastAsia="楷体"/>
                <w:color w:val="auto"/>
                <w:sz w:val="24"/>
              </w:rPr>
              <w:t>8</w:t>
            </w:r>
          </w:p>
        </w:tc>
        <w:tc>
          <w:tcPr>
            <w:tcW w:w="984" w:type="dxa"/>
          </w:tcPr>
          <w:p w14:paraId="0A4B1418">
            <w:pPr>
              <w:spacing w:line="360" w:lineRule="auto"/>
              <w:jc w:val="center"/>
              <w:rPr>
                <w:rFonts w:ascii="楷体" w:hAnsi="楷体" w:eastAsia="楷体"/>
                <w:color w:val="auto"/>
                <w:sz w:val="24"/>
              </w:rPr>
            </w:pPr>
            <w:r>
              <w:rPr>
                <w:rFonts w:hint="eastAsia" w:ascii="楷体" w:hAnsi="楷体" w:eastAsia="楷体"/>
                <w:color w:val="auto"/>
                <w:sz w:val="24"/>
              </w:rPr>
              <w:t>6</w:t>
            </w:r>
          </w:p>
        </w:tc>
        <w:tc>
          <w:tcPr>
            <w:tcW w:w="1070" w:type="dxa"/>
          </w:tcPr>
          <w:p w14:paraId="47AD11B7">
            <w:pPr>
              <w:spacing w:line="360" w:lineRule="auto"/>
              <w:jc w:val="center"/>
              <w:rPr>
                <w:rFonts w:ascii="楷体" w:hAnsi="楷体" w:eastAsia="楷体"/>
                <w:color w:val="auto"/>
                <w:sz w:val="24"/>
              </w:rPr>
            </w:pPr>
            <w:r>
              <w:rPr>
                <w:rFonts w:hint="eastAsia" w:ascii="楷体" w:hAnsi="楷体" w:eastAsia="楷体"/>
                <w:color w:val="auto"/>
                <w:sz w:val="24"/>
              </w:rPr>
              <w:t>2</w:t>
            </w:r>
          </w:p>
        </w:tc>
        <w:tc>
          <w:tcPr>
            <w:tcW w:w="1415" w:type="dxa"/>
          </w:tcPr>
          <w:p w14:paraId="5A3A23ED">
            <w:pPr>
              <w:spacing w:line="360" w:lineRule="auto"/>
              <w:jc w:val="center"/>
              <w:rPr>
                <w:rFonts w:ascii="楷体" w:hAnsi="楷体" w:eastAsia="楷体"/>
                <w:color w:val="auto"/>
                <w:sz w:val="24"/>
              </w:rPr>
            </w:pPr>
            <w:r>
              <w:rPr>
                <w:rFonts w:hint="eastAsia" w:ascii="楷体" w:hAnsi="楷体" w:eastAsia="楷体"/>
                <w:color w:val="auto"/>
                <w:sz w:val="24"/>
              </w:rPr>
              <w:t>1</w:t>
            </w:r>
          </w:p>
        </w:tc>
      </w:tr>
      <w:tr w14:paraId="3287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Pr>
          <w:p w14:paraId="128FE006">
            <w:pPr>
              <w:spacing w:line="360" w:lineRule="auto"/>
              <w:jc w:val="center"/>
              <w:rPr>
                <w:rFonts w:ascii="楷体" w:hAnsi="楷体" w:eastAsia="楷体"/>
                <w:color w:val="auto"/>
                <w:sz w:val="24"/>
              </w:rPr>
            </w:pPr>
            <w:r>
              <w:rPr>
                <w:rFonts w:hint="eastAsia" w:ascii="楷体" w:hAnsi="楷体" w:eastAsia="楷体"/>
                <w:color w:val="auto"/>
                <w:sz w:val="24"/>
              </w:rPr>
              <w:t>参与者</w:t>
            </w:r>
          </w:p>
        </w:tc>
        <w:tc>
          <w:tcPr>
            <w:tcW w:w="1070" w:type="dxa"/>
          </w:tcPr>
          <w:p w14:paraId="76BF88A4">
            <w:pPr>
              <w:spacing w:line="360" w:lineRule="auto"/>
              <w:jc w:val="center"/>
              <w:rPr>
                <w:rFonts w:ascii="楷体" w:hAnsi="楷体" w:eastAsia="楷体"/>
                <w:color w:val="auto"/>
                <w:sz w:val="24"/>
              </w:rPr>
            </w:pPr>
            <w:r>
              <w:rPr>
                <w:rFonts w:hint="eastAsia" w:ascii="楷体" w:hAnsi="楷体" w:eastAsia="楷体"/>
                <w:color w:val="auto"/>
                <w:sz w:val="24"/>
              </w:rPr>
              <w:t>4</w:t>
            </w:r>
          </w:p>
        </w:tc>
        <w:tc>
          <w:tcPr>
            <w:tcW w:w="984" w:type="dxa"/>
          </w:tcPr>
          <w:p w14:paraId="19CA2BC1">
            <w:pPr>
              <w:spacing w:line="360" w:lineRule="auto"/>
              <w:jc w:val="center"/>
              <w:rPr>
                <w:rFonts w:ascii="楷体" w:hAnsi="楷体" w:eastAsia="楷体"/>
                <w:color w:val="auto"/>
                <w:sz w:val="24"/>
              </w:rPr>
            </w:pPr>
            <w:r>
              <w:rPr>
                <w:rFonts w:hint="eastAsia" w:ascii="楷体" w:hAnsi="楷体" w:eastAsia="楷体"/>
                <w:color w:val="auto"/>
                <w:sz w:val="24"/>
              </w:rPr>
              <w:t>2</w:t>
            </w:r>
          </w:p>
        </w:tc>
        <w:tc>
          <w:tcPr>
            <w:tcW w:w="1070" w:type="dxa"/>
          </w:tcPr>
          <w:p w14:paraId="310BD9A6">
            <w:pPr>
              <w:spacing w:line="360" w:lineRule="auto"/>
              <w:jc w:val="center"/>
              <w:rPr>
                <w:rFonts w:ascii="楷体" w:hAnsi="楷体" w:eastAsia="楷体"/>
                <w:color w:val="auto"/>
                <w:sz w:val="24"/>
              </w:rPr>
            </w:pPr>
            <w:r>
              <w:rPr>
                <w:rFonts w:hint="eastAsia" w:ascii="楷体" w:hAnsi="楷体" w:eastAsia="楷体"/>
                <w:color w:val="auto"/>
                <w:sz w:val="24"/>
              </w:rPr>
              <w:t>0.8</w:t>
            </w:r>
          </w:p>
        </w:tc>
        <w:tc>
          <w:tcPr>
            <w:tcW w:w="1415" w:type="dxa"/>
          </w:tcPr>
          <w:p w14:paraId="41C4DDF3">
            <w:pPr>
              <w:spacing w:line="360" w:lineRule="auto"/>
              <w:jc w:val="center"/>
              <w:rPr>
                <w:rFonts w:ascii="楷体" w:hAnsi="楷体" w:eastAsia="楷体"/>
                <w:color w:val="auto"/>
                <w:sz w:val="24"/>
              </w:rPr>
            </w:pPr>
            <w:r>
              <w:rPr>
                <w:rFonts w:hint="eastAsia" w:ascii="楷体" w:hAnsi="楷体" w:eastAsia="楷体"/>
                <w:color w:val="auto"/>
                <w:sz w:val="24"/>
              </w:rPr>
              <w:t>0.5</w:t>
            </w:r>
          </w:p>
        </w:tc>
      </w:tr>
    </w:tbl>
    <w:p w14:paraId="3CD2FF62">
      <w:pPr>
        <w:spacing w:line="360" w:lineRule="auto"/>
        <w:ind w:firstLine="480" w:firstLineChars="200"/>
        <w:rPr>
          <w:rFonts w:ascii="楷体" w:hAnsi="楷体" w:eastAsia="楷体"/>
          <w:color w:val="auto"/>
          <w:sz w:val="24"/>
        </w:rPr>
      </w:pPr>
      <w:r>
        <w:rPr>
          <w:rFonts w:hint="eastAsia" w:ascii="楷体" w:hAnsi="楷体" w:eastAsia="楷体"/>
          <w:color w:val="auto"/>
          <w:sz w:val="24"/>
        </w:rPr>
        <w:t>注：</w:t>
      </w:r>
    </w:p>
    <w:p w14:paraId="3A47BD84">
      <w:pPr>
        <w:spacing w:line="360" w:lineRule="auto"/>
        <w:ind w:firstLine="480" w:firstLineChars="200"/>
        <w:rPr>
          <w:rFonts w:ascii="楷体" w:hAnsi="楷体" w:eastAsia="楷体"/>
          <w:color w:val="auto"/>
          <w:sz w:val="24"/>
        </w:rPr>
      </w:pPr>
      <w:r>
        <w:rPr>
          <w:rFonts w:hint="eastAsia" w:ascii="楷体" w:hAnsi="楷体" w:eastAsia="楷体"/>
          <w:color w:val="auto"/>
          <w:sz w:val="24"/>
          <w:lang w:val="en-US" w:eastAsia="zh-CN"/>
        </w:rPr>
        <w:t>1.学校优秀宿舍评选</w:t>
      </w:r>
      <w:r>
        <w:rPr>
          <w:rFonts w:hint="eastAsia" w:ascii="楷体" w:hAnsi="楷体" w:eastAsia="楷体"/>
          <w:color w:val="auto"/>
          <w:sz w:val="24"/>
        </w:rPr>
        <w:t>，优秀</w:t>
      </w:r>
      <w:r>
        <w:rPr>
          <w:rFonts w:hint="eastAsia" w:ascii="楷体" w:hAnsi="楷体" w:eastAsia="楷体"/>
          <w:color w:val="auto"/>
          <w:sz w:val="24"/>
          <w:lang w:val="en-US" w:eastAsia="zh-CN"/>
        </w:rPr>
        <w:t>示范</w:t>
      </w:r>
      <w:r>
        <w:rPr>
          <w:rFonts w:hint="eastAsia" w:ascii="楷体" w:hAnsi="楷体" w:eastAsia="楷体"/>
          <w:color w:val="auto"/>
          <w:sz w:val="24"/>
        </w:rPr>
        <w:t>宿舍每次每人加1分</w:t>
      </w:r>
      <w:r>
        <w:rPr>
          <w:rFonts w:hint="eastAsia" w:ascii="楷体" w:hAnsi="楷体" w:eastAsia="楷体"/>
          <w:color w:val="auto"/>
          <w:sz w:val="24"/>
          <w:lang w:eastAsia="zh-CN"/>
        </w:rPr>
        <w:t>；</w:t>
      </w:r>
      <w:r>
        <w:rPr>
          <w:rFonts w:hint="eastAsia" w:ascii="楷体" w:hAnsi="楷体" w:eastAsia="楷体"/>
          <w:color w:val="auto"/>
          <w:sz w:val="24"/>
          <w:lang w:val="en-US" w:eastAsia="zh-CN"/>
        </w:rPr>
        <w:t>荣誉称号如“甘肃省三好学生”“优秀共青团员”等按照相应级别的二等奖加分</w:t>
      </w:r>
      <w:r>
        <w:rPr>
          <w:rFonts w:hint="eastAsia" w:ascii="楷体" w:hAnsi="楷体" w:eastAsia="楷体"/>
          <w:color w:val="auto"/>
          <w:sz w:val="24"/>
        </w:rPr>
        <w:t>。</w:t>
      </w:r>
    </w:p>
    <w:p w14:paraId="1A20E115">
      <w:pPr>
        <w:spacing w:line="360" w:lineRule="auto"/>
        <w:ind w:firstLine="480" w:firstLineChars="200"/>
        <w:rPr>
          <w:rFonts w:ascii="楷体" w:hAnsi="楷体" w:eastAsia="楷体"/>
          <w:color w:val="auto"/>
          <w:sz w:val="24"/>
        </w:rPr>
      </w:pPr>
      <w:r>
        <w:rPr>
          <w:rFonts w:hint="eastAsia" w:ascii="楷体" w:hAnsi="楷体" w:eastAsia="楷体"/>
          <w:color w:val="auto"/>
          <w:sz w:val="24"/>
          <w:lang w:val="en-US" w:eastAsia="zh-CN"/>
        </w:rPr>
        <w:t>2.</w:t>
      </w:r>
      <w:r>
        <w:rPr>
          <w:rFonts w:hint="eastAsia" w:ascii="楷体" w:hAnsi="楷体" w:eastAsia="楷体"/>
          <w:color w:val="auto"/>
          <w:sz w:val="24"/>
        </w:rPr>
        <w:t>实践活动限定为由学校或学院组织或委派的各种社会活动。如暑期社会实践活动（无偿），支教活动（无偿），研究生辩论赛、演讲比赛、体育运动会（第1、2名一等奖，第3、4、5名二等奖，第6、7、8名三等奖</w:t>
      </w:r>
      <w:r>
        <w:rPr>
          <w:rFonts w:hint="eastAsia" w:ascii="楷体" w:hAnsi="楷体" w:eastAsia="楷体"/>
          <w:color w:val="auto"/>
          <w:sz w:val="24"/>
          <w:lang w:eastAsia="zh-CN"/>
        </w:rPr>
        <w:t>，</w:t>
      </w:r>
      <w:r>
        <w:rPr>
          <w:rFonts w:hint="eastAsia" w:ascii="楷体" w:hAnsi="楷体" w:eastAsia="楷体"/>
          <w:color w:val="auto"/>
          <w:sz w:val="24"/>
        </w:rPr>
        <w:t>特等奖按照一等奖加分）等。参加的确实与专业相关，具有重要社会影响的活动由领导小组认定</w:t>
      </w:r>
      <w:r>
        <w:rPr>
          <w:rFonts w:hint="eastAsia" w:ascii="楷体" w:hAnsi="楷体" w:eastAsia="楷体"/>
          <w:color w:val="auto"/>
          <w:sz w:val="24"/>
          <w:lang w:eastAsia="zh-CN"/>
        </w:rPr>
        <w:t>，</w:t>
      </w:r>
      <w:r>
        <w:rPr>
          <w:rFonts w:hint="eastAsia" w:ascii="楷体" w:hAnsi="楷体" w:eastAsia="楷体"/>
          <w:color w:val="auto"/>
          <w:sz w:val="24"/>
          <w:lang w:val="en-US" w:eastAsia="zh-CN"/>
        </w:rPr>
        <w:t>志愿服务活动不加分</w:t>
      </w:r>
      <w:r>
        <w:rPr>
          <w:rFonts w:hint="eastAsia" w:ascii="楷体" w:hAnsi="楷体" w:eastAsia="楷体"/>
          <w:color w:val="auto"/>
          <w:sz w:val="24"/>
        </w:rPr>
        <w:t>。</w:t>
      </w:r>
    </w:p>
    <w:p w14:paraId="6DAFA99A">
      <w:pPr>
        <w:spacing w:line="360" w:lineRule="auto"/>
        <w:ind w:firstLine="480" w:firstLineChars="200"/>
        <w:rPr>
          <w:rFonts w:ascii="楷体" w:hAnsi="楷体" w:eastAsia="楷体"/>
          <w:color w:val="auto"/>
          <w:sz w:val="24"/>
        </w:rPr>
      </w:pPr>
      <w:r>
        <w:rPr>
          <w:rFonts w:hint="eastAsia" w:ascii="楷体" w:hAnsi="楷体" w:eastAsia="楷体"/>
          <w:color w:val="auto"/>
          <w:sz w:val="24"/>
          <w:lang w:val="en-US" w:eastAsia="zh-CN"/>
        </w:rPr>
        <w:t>3.</w:t>
      </w:r>
      <w:r>
        <w:rPr>
          <w:rFonts w:hint="eastAsia" w:ascii="楷体" w:hAnsi="楷体" w:eastAsia="楷体"/>
          <w:color w:val="auto"/>
          <w:sz w:val="24"/>
        </w:rPr>
        <w:t>由学校或学院组织的、在校内举办的活动，学院办公室会出具相关名单、给定加分值。</w:t>
      </w:r>
    </w:p>
    <w:p w14:paraId="57FA1517">
      <w:pPr>
        <w:spacing w:line="360" w:lineRule="auto"/>
        <w:ind w:firstLine="480" w:firstLineChars="200"/>
        <w:rPr>
          <w:rFonts w:ascii="楷体" w:hAnsi="楷体" w:eastAsia="楷体"/>
          <w:color w:val="auto"/>
          <w:sz w:val="24"/>
        </w:rPr>
      </w:pPr>
      <w:r>
        <w:rPr>
          <w:rFonts w:hint="eastAsia" w:ascii="楷体" w:hAnsi="楷体" w:eastAsia="楷体"/>
          <w:color w:val="auto"/>
          <w:sz w:val="24"/>
          <w:lang w:val="en-US" w:eastAsia="zh-CN"/>
        </w:rPr>
        <w:t>4.</w:t>
      </w:r>
      <w:r>
        <w:rPr>
          <w:rFonts w:hint="eastAsia" w:ascii="楷体" w:hAnsi="楷体" w:eastAsia="楷体"/>
          <w:color w:val="auto"/>
          <w:sz w:val="24"/>
        </w:rPr>
        <w:t>所获奖项为团体奖时，加分办法与</w:t>
      </w:r>
      <w:r>
        <w:rPr>
          <w:rFonts w:hint="eastAsia" w:ascii="楷体" w:hAnsi="楷体" w:eastAsia="楷体"/>
          <w:color w:val="auto"/>
          <w:sz w:val="24"/>
          <w:lang w:val="en-US" w:eastAsia="zh-CN"/>
        </w:rPr>
        <w:t>论文</w:t>
      </w:r>
      <w:r>
        <w:rPr>
          <w:rFonts w:hint="eastAsia" w:ascii="楷体" w:hAnsi="楷体" w:eastAsia="楷体"/>
          <w:color w:val="auto"/>
          <w:sz w:val="24"/>
        </w:rPr>
        <w:t>类相同；但排名不分先后，所有获奖成员平均分配加分值。</w:t>
      </w:r>
    </w:p>
    <w:p w14:paraId="6BE8E71E">
      <w:pPr>
        <w:spacing w:line="360" w:lineRule="auto"/>
        <w:ind w:firstLine="480" w:firstLineChars="200"/>
        <w:rPr>
          <w:rFonts w:hint="eastAsia" w:ascii="楷体" w:hAnsi="楷体" w:eastAsia="楷体"/>
          <w:color w:val="auto"/>
          <w:sz w:val="24"/>
        </w:rPr>
      </w:pPr>
      <w:r>
        <w:rPr>
          <w:rFonts w:hint="eastAsia" w:ascii="楷体" w:hAnsi="楷体" w:eastAsia="楷体"/>
          <w:color w:val="auto"/>
          <w:sz w:val="24"/>
          <w:lang w:val="en-US" w:eastAsia="zh-CN"/>
        </w:rPr>
        <w:t>5.</w:t>
      </w:r>
      <w:r>
        <w:rPr>
          <w:rFonts w:hint="eastAsia" w:ascii="楷体" w:hAnsi="楷体" w:eastAsia="楷体"/>
          <w:color w:val="auto"/>
          <w:sz w:val="24"/>
        </w:rPr>
        <w:t>社会实践活动累计不超过15分</w:t>
      </w:r>
      <w:r>
        <w:rPr>
          <w:rFonts w:hint="eastAsia" w:ascii="楷体" w:hAnsi="楷体" w:eastAsia="楷体"/>
          <w:color w:val="auto"/>
          <w:sz w:val="24"/>
          <w:lang w:eastAsia="zh-CN"/>
        </w:rPr>
        <w:t>（</w:t>
      </w:r>
      <w:r>
        <w:rPr>
          <w:rFonts w:hint="eastAsia" w:ascii="楷体" w:hAnsi="楷体" w:eastAsia="楷体"/>
          <w:color w:val="auto"/>
          <w:sz w:val="24"/>
          <w:lang w:val="en-US" w:eastAsia="zh-CN"/>
        </w:rPr>
        <w:t>不赋权重前</w:t>
      </w:r>
      <w:r>
        <w:rPr>
          <w:rFonts w:hint="eastAsia" w:ascii="楷体" w:hAnsi="楷体" w:eastAsia="楷体"/>
          <w:color w:val="auto"/>
          <w:sz w:val="24"/>
          <w:lang w:eastAsia="zh-CN"/>
        </w:rPr>
        <w:t>）</w:t>
      </w:r>
      <w:r>
        <w:rPr>
          <w:rFonts w:hint="eastAsia" w:ascii="楷体" w:hAnsi="楷体" w:eastAsia="楷体"/>
          <w:color w:val="auto"/>
          <w:sz w:val="24"/>
        </w:rPr>
        <w:t>。</w:t>
      </w:r>
    </w:p>
    <w:p w14:paraId="169F8A2E">
      <w:pPr>
        <w:spacing w:line="360" w:lineRule="auto"/>
        <w:ind w:firstLine="480" w:firstLineChars="200"/>
        <w:rPr>
          <w:rFonts w:ascii="宋体"/>
          <w:color w:val="auto"/>
          <w:sz w:val="24"/>
        </w:rPr>
      </w:pPr>
      <w:r>
        <w:rPr>
          <w:rFonts w:hint="eastAsia" w:ascii="宋体"/>
          <w:color w:val="auto"/>
          <w:sz w:val="24"/>
          <w:lang w:eastAsia="zh-CN"/>
        </w:rPr>
        <w:t>（</w:t>
      </w:r>
      <w:r>
        <w:rPr>
          <w:rFonts w:hint="eastAsia" w:ascii="宋体"/>
          <w:color w:val="auto"/>
          <w:sz w:val="24"/>
          <w:lang w:val="en-US" w:eastAsia="zh-CN"/>
        </w:rPr>
        <w:t>二</w:t>
      </w:r>
      <w:r>
        <w:rPr>
          <w:rFonts w:hint="eastAsia" w:ascii="宋体"/>
          <w:color w:val="auto"/>
          <w:sz w:val="24"/>
          <w:lang w:eastAsia="zh-CN"/>
        </w:rPr>
        <w:t>）</w:t>
      </w:r>
      <w:r>
        <w:rPr>
          <w:rFonts w:hint="eastAsia" w:ascii="宋体"/>
          <w:color w:val="auto"/>
          <w:sz w:val="24"/>
        </w:rPr>
        <w:t>综合表现负加分</w:t>
      </w:r>
    </w:p>
    <w:p w14:paraId="76C0EDC6">
      <w:pPr>
        <w:spacing w:line="360" w:lineRule="auto"/>
        <w:ind w:firstLine="480" w:firstLineChars="200"/>
        <w:rPr>
          <w:rFonts w:ascii="楷体" w:hAnsi="楷体" w:eastAsia="楷体"/>
          <w:color w:val="auto"/>
          <w:sz w:val="24"/>
        </w:rPr>
      </w:pPr>
      <w:r>
        <w:rPr>
          <w:rFonts w:hint="eastAsia" w:ascii="楷体" w:hAnsi="楷体" w:eastAsia="楷体"/>
          <w:color w:val="auto"/>
          <w:sz w:val="24"/>
          <w:lang w:val="en-US" w:eastAsia="zh-CN"/>
        </w:rPr>
        <w:t>1.</w:t>
      </w:r>
      <w:r>
        <w:rPr>
          <w:rFonts w:hint="eastAsia" w:ascii="楷体" w:hAnsi="楷体" w:eastAsia="楷体"/>
          <w:color w:val="auto"/>
          <w:sz w:val="24"/>
        </w:rPr>
        <w:t>全年不参加研究生学术报告和集体活动者，计-10分；</w:t>
      </w:r>
    </w:p>
    <w:p w14:paraId="3FF64991">
      <w:pPr>
        <w:spacing w:line="360" w:lineRule="auto"/>
        <w:ind w:firstLine="480" w:firstLineChars="200"/>
        <w:rPr>
          <w:rFonts w:ascii="楷体" w:hAnsi="楷体" w:eastAsia="楷体"/>
          <w:color w:val="auto"/>
          <w:sz w:val="24"/>
        </w:rPr>
      </w:pPr>
      <w:r>
        <w:rPr>
          <w:rFonts w:hint="eastAsia" w:ascii="楷体" w:hAnsi="楷体" w:eastAsia="楷体"/>
          <w:color w:val="auto"/>
          <w:sz w:val="24"/>
          <w:lang w:val="en-US" w:eastAsia="zh-CN"/>
        </w:rPr>
        <w:t>2.</w:t>
      </w:r>
      <w:r>
        <w:rPr>
          <w:rFonts w:hint="eastAsia" w:ascii="楷体" w:hAnsi="楷体" w:eastAsia="楷体"/>
          <w:color w:val="auto"/>
          <w:sz w:val="24"/>
        </w:rPr>
        <w:t>参加研究生学术报告和集体活动，出勤率不足一半者，计-5分；</w:t>
      </w:r>
    </w:p>
    <w:p w14:paraId="05BE4F38">
      <w:pPr>
        <w:spacing w:line="360" w:lineRule="auto"/>
        <w:ind w:firstLine="480" w:firstLineChars="200"/>
        <w:rPr>
          <w:rFonts w:ascii="楷体" w:hAnsi="楷体" w:eastAsia="楷体"/>
          <w:color w:val="auto"/>
          <w:sz w:val="24"/>
        </w:rPr>
      </w:pPr>
      <w:r>
        <w:rPr>
          <w:rFonts w:hint="eastAsia" w:ascii="楷体" w:hAnsi="楷体" w:eastAsia="楷体"/>
          <w:color w:val="auto"/>
          <w:sz w:val="24"/>
          <w:lang w:val="en-US" w:eastAsia="zh-CN"/>
        </w:rPr>
        <w:t>3.</w:t>
      </w:r>
      <w:r>
        <w:rPr>
          <w:rFonts w:hint="eastAsia" w:ascii="楷体" w:hAnsi="楷体" w:eastAsia="楷体"/>
          <w:color w:val="auto"/>
          <w:sz w:val="24"/>
        </w:rPr>
        <w:t>因违纪受到学校、学院通报批评者</w:t>
      </w:r>
      <w:r>
        <w:rPr>
          <w:rFonts w:hint="eastAsia" w:ascii="楷体" w:hAnsi="楷体" w:eastAsia="楷体"/>
          <w:color w:val="auto"/>
          <w:sz w:val="24"/>
          <w:lang w:eastAsia="zh-CN"/>
        </w:rPr>
        <w:t>，</w:t>
      </w:r>
      <w:r>
        <w:rPr>
          <w:rFonts w:hint="eastAsia" w:ascii="楷体" w:hAnsi="楷体" w:eastAsia="楷体"/>
          <w:color w:val="auto"/>
          <w:sz w:val="24"/>
          <w:lang w:val="en-US" w:eastAsia="zh-CN"/>
        </w:rPr>
        <w:t>每次</w:t>
      </w:r>
      <w:r>
        <w:rPr>
          <w:rFonts w:hint="eastAsia" w:ascii="楷体" w:hAnsi="楷体" w:eastAsia="楷体"/>
          <w:color w:val="auto"/>
          <w:sz w:val="24"/>
        </w:rPr>
        <w:t>计-5</w:t>
      </w:r>
      <w:r>
        <w:rPr>
          <w:rFonts w:hint="eastAsia" w:ascii="楷体" w:hAnsi="楷体" w:eastAsia="楷体"/>
          <w:color w:val="auto"/>
          <w:sz w:val="24"/>
          <w:lang w:val="en-US" w:eastAsia="zh-CN"/>
        </w:rPr>
        <w:t>分</w:t>
      </w:r>
      <w:r>
        <w:rPr>
          <w:rFonts w:hint="eastAsia" w:ascii="楷体" w:hAnsi="楷体" w:eastAsia="楷体"/>
          <w:color w:val="auto"/>
          <w:sz w:val="24"/>
        </w:rPr>
        <w:t>；</w:t>
      </w:r>
    </w:p>
    <w:p w14:paraId="3E4C5C19">
      <w:pPr>
        <w:spacing w:line="360" w:lineRule="auto"/>
        <w:ind w:firstLine="480" w:firstLineChars="200"/>
        <w:rPr>
          <w:rFonts w:hint="eastAsia" w:ascii="楷体" w:hAnsi="楷体" w:eastAsia="楷体"/>
          <w:color w:val="auto"/>
          <w:sz w:val="24"/>
        </w:rPr>
      </w:pPr>
      <w:r>
        <w:rPr>
          <w:rFonts w:hint="eastAsia" w:ascii="楷体" w:hAnsi="楷体" w:eastAsia="楷体"/>
          <w:color w:val="auto"/>
          <w:sz w:val="24"/>
          <w:lang w:val="en-US" w:eastAsia="zh-CN"/>
        </w:rPr>
        <w:t>4.</w:t>
      </w:r>
      <w:r>
        <w:rPr>
          <w:rFonts w:hint="eastAsia" w:ascii="楷体" w:hAnsi="楷体" w:eastAsia="楷体"/>
          <w:color w:val="auto"/>
          <w:sz w:val="24"/>
        </w:rPr>
        <w:t>因公寓违纪、使用违禁电器等受到研究生公寓通报者，每次计-2分；宿舍晚归（特殊情况除外），每次计-0.5分；公寓卫生检查，差评宿舍每次每人计-1分；</w:t>
      </w:r>
    </w:p>
    <w:p w14:paraId="02B4BCBE">
      <w:pPr>
        <w:spacing w:line="360" w:lineRule="auto"/>
        <w:ind w:firstLine="480" w:firstLineChars="200"/>
        <w:rPr>
          <w:rFonts w:hint="default" w:ascii="楷体" w:hAnsi="楷体" w:eastAsia="楷体"/>
          <w:color w:val="auto"/>
          <w:sz w:val="24"/>
          <w:lang w:val="en-US" w:eastAsia="zh-CN"/>
        </w:rPr>
      </w:pPr>
      <w:r>
        <w:rPr>
          <w:rFonts w:hint="eastAsia" w:ascii="楷体" w:hAnsi="楷体" w:eastAsia="楷体"/>
          <w:color w:val="auto"/>
          <w:sz w:val="24"/>
          <w:lang w:val="en-US" w:eastAsia="zh-CN"/>
        </w:rPr>
        <w:t>5.运动会已报名无故不参加者，一项计-1分。</w:t>
      </w:r>
    </w:p>
    <w:p w14:paraId="2DB97529">
      <w:pPr>
        <w:spacing w:line="360" w:lineRule="auto"/>
        <w:jc w:val="center"/>
        <w:rPr>
          <w:rFonts w:hint="default" w:ascii="黑体" w:hAnsi="黑体" w:eastAsia="黑体" w:cs="宋体"/>
          <w:b/>
          <w:bCs/>
          <w:color w:val="auto"/>
          <w:kern w:val="0"/>
          <w:sz w:val="28"/>
          <w:szCs w:val="28"/>
          <w:lang w:val="en-US" w:eastAsia="zh-CN"/>
        </w:rPr>
      </w:pPr>
      <w:r>
        <w:rPr>
          <w:rFonts w:hint="eastAsia" w:ascii="黑体" w:hAnsi="黑体" w:eastAsia="黑体" w:cs="宋体"/>
          <w:b/>
          <w:bCs/>
          <w:color w:val="auto"/>
          <w:kern w:val="0"/>
          <w:sz w:val="28"/>
          <w:szCs w:val="28"/>
        </w:rPr>
        <w:t>第</w:t>
      </w:r>
      <w:r>
        <w:rPr>
          <w:rFonts w:hint="eastAsia" w:ascii="黑体" w:hAnsi="黑体" w:eastAsia="黑体" w:cs="宋体"/>
          <w:b/>
          <w:bCs/>
          <w:color w:val="auto"/>
          <w:kern w:val="0"/>
          <w:sz w:val="28"/>
          <w:szCs w:val="28"/>
          <w:lang w:val="en-US" w:eastAsia="zh-CN"/>
        </w:rPr>
        <w:t>五</w:t>
      </w:r>
      <w:r>
        <w:rPr>
          <w:rFonts w:hint="eastAsia" w:ascii="黑体" w:hAnsi="黑体" w:eastAsia="黑体" w:cs="宋体"/>
          <w:b/>
          <w:bCs/>
          <w:color w:val="auto"/>
          <w:kern w:val="0"/>
          <w:sz w:val="28"/>
          <w:szCs w:val="28"/>
        </w:rPr>
        <w:t xml:space="preserve">章  </w:t>
      </w:r>
      <w:r>
        <w:rPr>
          <w:rFonts w:hint="eastAsia" w:ascii="黑体" w:hAnsi="黑体" w:eastAsia="黑体" w:cs="宋体"/>
          <w:b/>
          <w:bCs/>
          <w:color w:val="auto"/>
          <w:kern w:val="0"/>
          <w:sz w:val="28"/>
          <w:szCs w:val="28"/>
          <w:lang w:val="en-US" w:eastAsia="zh-CN"/>
        </w:rPr>
        <w:t>组织与评定</w:t>
      </w:r>
    </w:p>
    <w:p w14:paraId="1265ED57">
      <w:pPr>
        <w:spacing w:line="360" w:lineRule="auto"/>
        <w:ind w:firstLine="562" w:firstLineChars="200"/>
        <w:rPr>
          <w:rFonts w:ascii="宋体"/>
          <w:color w:val="auto"/>
          <w:sz w:val="24"/>
        </w:rPr>
      </w:pPr>
      <w:r>
        <w:rPr>
          <w:rFonts w:hint="eastAsia" w:ascii="宋体" w:hAnsi="宋体" w:cs="宋体"/>
          <w:b/>
          <w:color w:val="auto"/>
          <w:kern w:val="0"/>
          <w:sz w:val="28"/>
          <w:szCs w:val="28"/>
        </w:rPr>
        <w:t>第</w:t>
      </w:r>
      <w:r>
        <w:rPr>
          <w:rFonts w:hint="eastAsia" w:ascii="宋体" w:hAnsi="宋体" w:cs="宋体"/>
          <w:b/>
          <w:color w:val="auto"/>
          <w:kern w:val="0"/>
          <w:sz w:val="28"/>
          <w:szCs w:val="28"/>
          <w:lang w:val="en-US" w:eastAsia="zh-CN"/>
        </w:rPr>
        <w:t>十四</w:t>
      </w:r>
      <w:r>
        <w:rPr>
          <w:rFonts w:hint="eastAsia" w:ascii="宋体" w:hAnsi="宋体" w:cs="宋体"/>
          <w:b/>
          <w:color w:val="auto"/>
          <w:kern w:val="0"/>
          <w:sz w:val="28"/>
          <w:szCs w:val="28"/>
        </w:rPr>
        <w:t>条</w:t>
      </w:r>
      <w:r>
        <w:rPr>
          <w:rFonts w:hint="eastAsia" w:ascii="宋体"/>
          <w:color w:val="auto"/>
          <w:sz w:val="24"/>
        </w:rPr>
        <w:t xml:space="preserve">  学院成立学生奖助学金评审委员会，负责制定学院学生奖助学金评审实施细则、组织申请、学院评审、学生申诉 受理等工作。评审委员会由学院党政主要负责人任主任委员，由负责学生工作和教学工作的院领导、辅导员、研究生秘书、导师代表、研究生代表任委员。评审委员会名单及学院奖助学金评审实施细则应报学生奖助学金评审领导小组备案。</w:t>
      </w:r>
    </w:p>
    <w:p w14:paraId="69F63D5D">
      <w:pPr>
        <w:spacing w:line="360" w:lineRule="auto"/>
        <w:ind w:firstLine="562" w:firstLineChars="200"/>
        <w:rPr>
          <w:rFonts w:hint="eastAsia" w:ascii="宋体"/>
          <w:color w:val="auto"/>
          <w:sz w:val="24"/>
          <w:lang w:val="en-US" w:eastAsia="zh-CN"/>
        </w:rPr>
      </w:pPr>
      <w:r>
        <w:rPr>
          <w:rFonts w:hint="eastAsia" w:ascii="宋体" w:hAnsi="宋体" w:cs="宋体"/>
          <w:b/>
          <w:color w:val="auto"/>
          <w:kern w:val="0"/>
          <w:sz w:val="28"/>
          <w:szCs w:val="28"/>
        </w:rPr>
        <w:t>第十</w:t>
      </w:r>
      <w:r>
        <w:rPr>
          <w:rFonts w:hint="eastAsia" w:ascii="宋体" w:hAnsi="宋体" w:cs="宋体"/>
          <w:b/>
          <w:color w:val="auto"/>
          <w:kern w:val="0"/>
          <w:sz w:val="28"/>
          <w:szCs w:val="28"/>
          <w:lang w:val="en-US" w:eastAsia="zh-CN"/>
        </w:rPr>
        <w:t>五</w:t>
      </w:r>
      <w:r>
        <w:rPr>
          <w:rFonts w:hint="eastAsia" w:ascii="宋体" w:hAnsi="宋体" w:cs="宋体"/>
          <w:b/>
          <w:color w:val="auto"/>
          <w:kern w:val="0"/>
          <w:sz w:val="28"/>
          <w:szCs w:val="28"/>
        </w:rPr>
        <w:t>条</w:t>
      </w:r>
      <w:r>
        <w:rPr>
          <w:rFonts w:hint="eastAsia" w:ascii="宋体"/>
          <w:color w:val="auto"/>
          <w:sz w:val="24"/>
        </w:rPr>
        <w:t xml:space="preserve">  </w:t>
      </w:r>
      <w:r>
        <w:rPr>
          <w:rFonts w:hint="eastAsia" w:ascii="宋体"/>
          <w:color w:val="auto"/>
          <w:sz w:val="24"/>
          <w:lang w:val="en-US" w:eastAsia="zh-CN"/>
        </w:rPr>
        <w:t>评定程序</w:t>
      </w:r>
    </w:p>
    <w:p w14:paraId="77324082">
      <w:pPr>
        <w:spacing w:line="360" w:lineRule="auto"/>
        <w:ind w:firstLine="480" w:firstLineChars="200"/>
        <w:rPr>
          <w:rFonts w:hint="eastAsia" w:ascii="宋体"/>
          <w:color w:val="auto"/>
          <w:sz w:val="24"/>
          <w:lang w:val="en-US" w:eastAsia="zh-CN"/>
        </w:rPr>
      </w:pPr>
      <w:r>
        <w:rPr>
          <w:rFonts w:hint="eastAsia" w:ascii="宋体"/>
          <w:color w:val="auto"/>
          <w:sz w:val="24"/>
          <w:lang w:val="en-US" w:eastAsia="zh-CN"/>
        </w:rPr>
        <w:t>1.个人申请。符合参评条件的研究生将相关证明材料递交学院，并通过奖学金评定系统如实填报申请奖学金。</w:t>
      </w:r>
    </w:p>
    <w:p w14:paraId="58E4F86F">
      <w:pPr>
        <w:spacing w:line="360" w:lineRule="auto"/>
        <w:ind w:firstLine="480" w:firstLineChars="200"/>
        <w:rPr>
          <w:rFonts w:hint="eastAsia" w:ascii="宋体"/>
          <w:color w:val="auto"/>
          <w:sz w:val="24"/>
          <w:lang w:val="en-US" w:eastAsia="zh-CN"/>
        </w:rPr>
      </w:pPr>
      <w:r>
        <w:rPr>
          <w:rFonts w:hint="eastAsia" w:ascii="宋体"/>
          <w:color w:val="auto"/>
          <w:sz w:val="24"/>
          <w:lang w:val="en-US" w:eastAsia="zh-CN"/>
        </w:rPr>
        <w:t>2.导师推荐。导师对申请研究生进行推荐审核。</w:t>
      </w:r>
    </w:p>
    <w:p w14:paraId="0E3B2E1A">
      <w:pPr>
        <w:spacing w:line="360" w:lineRule="auto"/>
        <w:ind w:firstLine="480" w:firstLineChars="200"/>
        <w:rPr>
          <w:rFonts w:hint="eastAsia" w:ascii="宋体"/>
          <w:color w:val="auto"/>
          <w:sz w:val="24"/>
          <w:lang w:val="en-US" w:eastAsia="zh-CN"/>
        </w:rPr>
      </w:pPr>
      <w:r>
        <w:rPr>
          <w:rFonts w:hint="eastAsia" w:ascii="宋体"/>
          <w:color w:val="auto"/>
          <w:sz w:val="24"/>
          <w:lang w:val="en-US" w:eastAsia="zh-CN"/>
        </w:rPr>
        <w:t>3.学院评定。依据分配名额及评定标准，研究生所在党支部 审议推荐名单，将审议结果报学院学生奖助学金评审委员会。学院学生奖助学金评审委员会对申请材料进行审核，对各类奖学金进行评定，确保评审工作公开、公平、公正。经学院党政联席会 议审议通过后，初评结果在学院范围内公示5个工作日，公示结果无异议后报送学校。</w:t>
      </w:r>
    </w:p>
    <w:p w14:paraId="3B757E51">
      <w:pPr>
        <w:spacing w:line="360" w:lineRule="auto"/>
        <w:ind w:firstLine="480" w:firstLineChars="200"/>
        <w:rPr>
          <w:rFonts w:hint="eastAsia" w:ascii="宋体"/>
          <w:color w:val="auto"/>
          <w:sz w:val="24"/>
          <w:lang w:val="en-US" w:eastAsia="zh-CN"/>
        </w:rPr>
      </w:pPr>
      <w:r>
        <w:rPr>
          <w:rFonts w:hint="eastAsia" w:ascii="宋体"/>
          <w:color w:val="auto"/>
          <w:sz w:val="24"/>
          <w:lang w:val="en-US" w:eastAsia="zh-CN"/>
        </w:rPr>
        <w:t>4.学校审定。学校党委学生工作部审核学院初评结果，经学 校学生奖助学金评审领导小组审议通过，报校长办公会审定。</w:t>
      </w:r>
    </w:p>
    <w:p w14:paraId="6E2072C3">
      <w:pPr>
        <w:spacing w:line="360" w:lineRule="auto"/>
        <w:ind w:firstLine="480" w:firstLineChars="200"/>
        <w:rPr>
          <w:rFonts w:hint="eastAsia" w:ascii="宋体"/>
          <w:color w:val="auto"/>
          <w:sz w:val="24"/>
          <w:lang w:val="en-US" w:eastAsia="zh-CN"/>
        </w:rPr>
      </w:pPr>
      <w:r>
        <w:rPr>
          <w:rFonts w:hint="eastAsia" w:ascii="宋体"/>
          <w:color w:val="auto"/>
          <w:sz w:val="24"/>
          <w:lang w:val="en-US" w:eastAsia="zh-CN"/>
        </w:rPr>
        <w:t>5.结果公示。各类奖学金评定结果在全校范围内公示5个工作日，无异议后由学校行文公布。</w:t>
      </w:r>
    </w:p>
    <w:p w14:paraId="61A847E7">
      <w:pPr>
        <w:spacing w:line="360" w:lineRule="auto"/>
        <w:ind w:firstLine="480" w:firstLineChars="200"/>
        <w:rPr>
          <w:rFonts w:hint="eastAsia" w:ascii="宋体"/>
          <w:color w:val="auto"/>
          <w:sz w:val="24"/>
          <w:lang w:val="en-US" w:eastAsia="zh-CN"/>
        </w:rPr>
      </w:pPr>
      <w:r>
        <w:rPr>
          <w:rFonts w:hint="eastAsia" w:ascii="宋体"/>
          <w:color w:val="auto"/>
          <w:sz w:val="24"/>
          <w:lang w:val="en-US" w:eastAsia="zh-CN"/>
        </w:rPr>
        <w:t>6.表彰奖励。学校或学院对获奖学生进行表彰。奖学金独立建账，专款专用，统一发放。学院将奖学金获奖情况计入学生学籍档案。</w:t>
      </w:r>
    </w:p>
    <w:p w14:paraId="17AA6731">
      <w:pPr>
        <w:spacing w:line="360" w:lineRule="auto"/>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第</w:t>
      </w:r>
      <w:r>
        <w:rPr>
          <w:rFonts w:hint="eastAsia" w:ascii="黑体" w:hAnsi="黑体" w:eastAsia="黑体" w:cs="宋体"/>
          <w:b/>
          <w:bCs/>
          <w:color w:val="auto"/>
          <w:kern w:val="0"/>
          <w:sz w:val="28"/>
          <w:szCs w:val="28"/>
          <w:lang w:val="en-US" w:eastAsia="zh-CN"/>
        </w:rPr>
        <w:t>六</w:t>
      </w:r>
      <w:r>
        <w:rPr>
          <w:rFonts w:hint="eastAsia" w:ascii="黑体" w:hAnsi="黑体" w:eastAsia="黑体" w:cs="宋体"/>
          <w:b/>
          <w:bCs/>
          <w:color w:val="auto"/>
          <w:kern w:val="0"/>
          <w:sz w:val="28"/>
          <w:szCs w:val="28"/>
        </w:rPr>
        <w:t>章  相关说明</w:t>
      </w:r>
    </w:p>
    <w:p w14:paraId="754FCCF4">
      <w:pPr>
        <w:spacing w:line="360" w:lineRule="auto"/>
        <w:ind w:firstLine="562" w:firstLineChars="200"/>
        <w:rPr>
          <w:rFonts w:ascii="宋体"/>
          <w:color w:val="auto"/>
          <w:sz w:val="24"/>
        </w:rPr>
      </w:pPr>
      <w:r>
        <w:rPr>
          <w:rFonts w:hint="eastAsia" w:ascii="宋体" w:hAnsi="宋体" w:cs="宋体"/>
          <w:b/>
          <w:color w:val="auto"/>
          <w:kern w:val="0"/>
          <w:sz w:val="28"/>
          <w:szCs w:val="28"/>
        </w:rPr>
        <w:t>第</w:t>
      </w:r>
      <w:r>
        <w:rPr>
          <w:rFonts w:hint="eastAsia" w:ascii="宋体" w:hAnsi="宋体" w:cs="宋体"/>
          <w:b/>
          <w:color w:val="auto"/>
          <w:kern w:val="0"/>
          <w:sz w:val="28"/>
          <w:szCs w:val="28"/>
          <w:lang w:val="en-US" w:eastAsia="zh-CN"/>
        </w:rPr>
        <w:t>十六</w:t>
      </w:r>
      <w:r>
        <w:rPr>
          <w:rFonts w:hint="eastAsia" w:ascii="宋体" w:hAnsi="宋体" w:cs="宋体"/>
          <w:b/>
          <w:color w:val="auto"/>
          <w:kern w:val="0"/>
          <w:sz w:val="28"/>
          <w:szCs w:val="28"/>
        </w:rPr>
        <w:t>条</w:t>
      </w:r>
      <w:r>
        <w:rPr>
          <w:rFonts w:hint="eastAsia" w:ascii="宋体"/>
          <w:b/>
          <w:color w:val="auto"/>
          <w:sz w:val="24"/>
        </w:rPr>
        <w:t xml:space="preserve">  </w:t>
      </w:r>
      <w:r>
        <w:rPr>
          <w:rFonts w:hint="eastAsia" w:ascii="宋体"/>
          <w:color w:val="auto"/>
          <w:sz w:val="24"/>
        </w:rPr>
        <w:t>参与评定研究生奖学金的教学科研项目、成果比赛参照</w:t>
      </w:r>
      <w:r>
        <w:rPr>
          <w:rFonts w:hint="eastAsia" w:ascii="宋体"/>
          <w:color w:val="auto"/>
          <w:sz w:val="24"/>
          <w:lang w:val="en-US" w:eastAsia="zh-CN"/>
        </w:rPr>
        <w:t>最新</w:t>
      </w:r>
      <w:r>
        <w:rPr>
          <w:rFonts w:hint="eastAsia" w:ascii="宋体"/>
          <w:color w:val="auto"/>
          <w:sz w:val="24"/>
        </w:rPr>
        <w:t>《西北师范大学教学科研项目、成果分类办法（修订)》进行认定，必须以西北师范大学为第一署名单位，以学生为第一作者发表或者导师为第一作者、学生为第二作者。</w:t>
      </w:r>
      <w:r>
        <w:rPr>
          <w:rFonts w:hint="eastAsia" w:ascii="宋体"/>
          <w:color w:val="auto"/>
          <w:sz w:val="24"/>
          <w:lang w:val="en-US" w:eastAsia="zh-CN"/>
        </w:rPr>
        <w:t>论文</w:t>
      </w:r>
      <w:r>
        <w:rPr>
          <w:rFonts w:hint="eastAsia" w:ascii="宋体"/>
          <w:color w:val="auto"/>
          <w:sz w:val="24"/>
        </w:rPr>
        <w:t>以见刊为准。</w:t>
      </w:r>
    </w:p>
    <w:p w14:paraId="3535D27E">
      <w:pPr>
        <w:spacing w:line="360" w:lineRule="auto"/>
        <w:ind w:firstLine="562" w:firstLineChars="200"/>
        <w:rPr>
          <w:rFonts w:ascii="宋体"/>
          <w:color w:val="auto"/>
          <w:sz w:val="24"/>
        </w:rPr>
      </w:pPr>
      <w:r>
        <w:rPr>
          <w:rFonts w:hint="eastAsia" w:ascii="宋体" w:hAnsi="宋体" w:cs="宋体"/>
          <w:b/>
          <w:color w:val="auto"/>
          <w:kern w:val="0"/>
          <w:sz w:val="28"/>
          <w:szCs w:val="28"/>
        </w:rPr>
        <w:t>第</w:t>
      </w:r>
      <w:r>
        <w:rPr>
          <w:rFonts w:hint="eastAsia" w:ascii="宋体" w:hAnsi="宋体" w:cs="宋体"/>
          <w:b/>
          <w:color w:val="auto"/>
          <w:kern w:val="0"/>
          <w:sz w:val="28"/>
          <w:szCs w:val="28"/>
          <w:lang w:val="en-US" w:eastAsia="zh-CN"/>
        </w:rPr>
        <w:t>十七</w:t>
      </w:r>
      <w:r>
        <w:rPr>
          <w:rFonts w:hint="eastAsia" w:ascii="宋体" w:hAnsi="宋体" w:cs="宋体"/>
          <w:b/>
          <w:color w:val="auto"/>
          <w:kern w:val="0"/>
          <w:sz w:val="28"/>
          <w:szCs w:val="28"/>
        </w:rPr>
        <w:t>条</w:t>
      </w:r>
      <w:r>
        <w:rPr>
          <w:rFonts w:hint="eastAsia" w:ascii="宋体"/>
          <w:color w:val="auto"/>
          <w:sz w:val="24"/>
        </w:rPr>
        <w:t xml:space="preserve"> 参与评定研究生奖学金的教学科研成果包括正式见刊的学术论文（发表在外文期刊的，需提供DOI号）、获得正式授权的专利、出版的学术专著、科研奖项及得到有关部门批示的研究咨询报告。 </w:t>
      </w:r>
    </w:p>
    <w:p w14:paraId="1516B0D7">
      <w:pPr>
        <w:spacing w:line="360" w:lineRule="auto"/>
        <w:ind w:firstLine="562" w:firstLineChars="200"/>
        <w:rPr>
          <w:rFonts w:ascii="宋体"/>
          <w:color w:val="auto"/>
          <w:sz w:val="24"/>
        </w:rPr>
      </w:pPr>
      <w:r>
        <w:rPr>
          <w:rFonts w:hint="eastAsia" w:ascii="宋体" w:hAnsi="宋体" w:cs="宋体"/>
          <w:b/>
          <w:color w:val="auto"/>
          <w:kern w:val="0"/>
          <w:sz w:val="28"/>
          <w:szCs w:val="28"/>
        </w:rPr>
        <w:t>第</w:t>
      </w:r>
      <w:r>
        <w:rPr>
          <w:rFonts w:hint="eastAsia" w:ascii="宋体" w:hAnsi="宋体" w:cs="宋体"/>
          <w:b/>
          <w:color w:val="auto"/>
          <w:kern w:val="0"/>
          <w:sz w:val="28"/>
          <w:szCs w:val="28"/>
          <w:lang w:val="en-US" w:eastAsia="zh-CN"/>
        </w:rPr>
        <w:t>十八</w:t>
      </w:r>
      <w:r>
        <w:rPr>
          <w:rFonts w:hint="eastAsia" w:ascii="宋体" w:hAnsi="宋体" w:cs="宋体"/>
          <w:b/>
          <w:color w:val="auto"/>
          <w:kern w:val="0"/>
          <w:sz w:val="28"/>
          <w:szCs w:val="28"/>
        </w:rPr>
        <w:t>条</w:t>
      </w:r>
      <w:r>
        <w:rPr>
          <w:rFonts w:hint="eastAsia" w:ascii="宋体"/>
          <w:b/>
          <w:color w:val="auto"/>
          <w:sz w:val="24"/>
        </w:rPr>
        <w:t xml:space="preserve"> </w:t>
      </w:r>
      <w:r>
        <w:rPr>
          <w:rFonts w:hint="eastAsia" w:ascii="宋体"/>
          <w:color w:val="auto"/>
          <w:sz w:val="24"/>
        </w:rPr>
        <w:t xml:space="preserve"> 奖学金申报材料须为在读期间学生学习成果，其中获奖成果不可重复申请使用。</w:t>
      </w:r>
    </w:p>
    <w:p w14:paraId="491A5495">
      <w:pPr>
        <w:spacing w:line="360" w:lineRule="auto"/>
        <w:ind w:firstLine="562" w:firstLineChars="200"/>
        <w:rPr>
          <w:rFonts w:ascii="宋体"/>
          <w:color w:val="auto"/>
          <w:sz w:val="24"/>
        </w:rPr>
      </w:pPr>
      <w:r>
        <w:rPr>
          <w:rFonts w:hint="eastAsia" w:ascii="宋体" w:hAnsi="宋体" w:cs="宋体"/>
          <w:b/>
          <w:color w:val="auto"/>
          <w:kern w:val="0"/>
          <w:sz w:val="28"/>
          <w:szCs w:val="28"/>
        </w:rPr>
        <w:t>第</w:t>
      </w:r>
      <w:r>
        <w:rPr>
          <w:rFonts w:hint="eastAsia" w:ascii="宋体" w:hAnsi="宋体" w:cs="宋体"/>
          <w:b/>
          <w:color w:val="auto"/>
          <w:kern w:val="0"/>
          <w:sz w:val="28"/>
          <w:szCs w:val="28"/>
          <w:lang w:val="en-US" w:eastAsia="zh-CN"/>
        </w:rPr>
        <w:t>十九</w:t>
      </w:r>
      <w:r>
        <w:rPr>
          <w:rFonts w:hint="eastAsia" w:ascii="宋体" w:hAnsi="宋体" w:cs="宋体"/>
          <w:b/>
          <w:color w:val="auto"/>
          <w:kern w:val="0"/>
          <w:sz w:val="28"/>
          <w:szCs w:val="28"/>
        </w:rPr>
        <w:t>条</w:t>
      </w:r>
      <w:r>
        <w:rPr>
          <w:rFonts w:hint="eastAsia" w:ascii="宋体"/>
          <w:b/>
          <w:color w:val="auto"/>
          <w:sz w:val="24"/>
        </w:rPr>
        <w:t xml:space="preserve">  </w:t>
      </w:r>
      <w:r>
        <w:rPr>
          <w:rFonts w:hint="eastAsia" w:ascii="宋体"/>
          <w:color w:val="auto"/>
          <w:sz w:val="24"/>
        </w:rPr>
        <w:t>各类奖学金评定时间、条件、名额等根据当年相关文件、函件要求进行评定。</w:t>
      </w:r>
    </w:p>
    <w:p w14:paraId="24C96352">
      <w:pPr>
        <w:spacing w:line="360" w:lineRule="auto"/>
        <w:ind w:firstLine="562" w:firstLineChars="200"/>
        <w:rPr>
          <w:rFonts w:hint="eastAsia" w:ascii="宋体"/>
          <w:color w:val="auto"/>
          <w:sz w:val="24"/>
        </w:rPr>
      </w:pPr>
      <w:r>
        <w:rPr>
          <w:rFonts w:hint="eastAsia" w:ascii="宋体" w:hAnsi="宋体" w:cs="宋体"/>
          <w:b/>
          <w:color w:val="auto"/>
          <w:kern w:val="0"/>
          <w:sz w:val="28"/>
          <w:szCs w:val="28"/>
        </w:rPr>
        <w:t>第二十条</w:t>
      </w:r>
      <w:r>
        <w:rPr>
          <w:rFonts w:hint="eastAsia" w:ascii="宋体"/>
          <w:color w:val="auto"/>
          <w:sz w:val="24"/>
        </w:rPr>
        <w:t xml:space="preserve">  同一年国家奖学金和学业综合奖学金只能评选其中一项，同一成果被不同刊物收录（转载）或获得不同级别奖励，“就高”参评一项，不累计。</w:t>
      </w:r>
    </w:p>
    <w:p w14:paraId="3FFEEC54">
      <w:pPr>
        <w:spacing w:line="360" w:lineRule="auto"/>
        <w:ind w:firstLine="562" w:firstLineChars="200"/>
        <w:rPr>
          <w:rFonts w:hint="default" w:ascii="宋体" w:eastAsia="宋体"/>
          <w:color w:val="auto"/>
          <w:sz w:val="24"/>
          <w:lang w:val="en-US" w:eastAsia="zh-CN"/>
        </w:rPr>
      </w:pPr>
      <w:r>
        <w:rPr>
          <w:rFonts w:hint="eastAsia" w:ascii="宋体" w:hAnsi="宋体" w:cs="宋体"/>
          <w:b/>
          <w:color w:val="auto"/>
          <w:kern w:val="0"/>
          <w:sz w:val="28"/>
          <w:szCs w:val="28"/>
          <w:lang w:val="en-US" w:eastAsia="zh-CN"/>
        </w:rPr>
        <w:t>第二十一条</w:t>
      </w:r>
      <w:r>
        <w:rPr>
          <w:rFonts w:hint="eastAsia" w:ascii="宋体"/>
          <w:color w:val="auto"/>
          <w:sz w:val="24"/>
          <w:lang w:val="en-US" w:eastAsia="zh-CN"/>
        </w:rPr>
        <w:t xml:space="preserve">  符合参评条件的研究生可通过系统申请本年度 的国家奖学金或学业奖学金，一年级研究生可通过系统申请新生奖学金和木铎升学奖。</w:t>
      </w:r>
    </w:p>
    <w:p w14:paraId="79BB73A8">
      <w:pPr>
        <w:spacing w:line="360" w:lineRule="auto"/>
        <w:ind w:firstLine="562" w:firstLineChars="200"/>
        <w:rPr>
          <w:rFonts w:ascii="宋体"/>
          <w:color w:val="auto"/>
          <w:sz w:val="24"/>
        </w:rPr>
      </w:pPr>
      <w:r>
        <w:rPr>
          <w:rFonts w:hint="eastAsia" w:ascii="宋体" w:hAnsi="宋体" w:cs="宋体"/>
          <w:b/>
          <w:color w:val="auto"/>
          <w:kern w:val="0"/>
          <w:sz w:val="28"/>
          <w:szCs w:val="28"/>
        </w:rPr>
        <w:t>第二十</w:t>
      </w:r>
      <w:r>
        <w:rPr>
          <w:rFonts w:hint="eastAsia" w:ascii="宋体" w:hAnsi="宋体" w:cs="宋体"/>
          <w:b/>
          <w:color w:val="auto"/>
          <w:kern w:val="0"/>
          <w:sz w:val="28"/>
          <w:szCs w:val="28"/>
          <w:lang w:val="en-US" w:eastAsia="zh-CN"/>
        </w:rPr>
        <w:t>二</w:t>
      </w:r>
      <w:r>
        <w:rPr>
          <w:rFonts w:hint="eastAsia" w:ascii="宋体" w:hAnsi="宋体" w:cs="宋体"/>
          <w:b/>
          <w:color w:val="auto"/>
          <w:kern w:val="0"/>
          <w:sz w:val="28"/>
          <w:szCs w:val="28"/>
        </w:rPr>
        <w:t>条</w:t>
      </w:r>
      <w:r>
        <w:rPr>
          <w:rFonts w:hint="eastAsia" w:ascii="宋体" w:hAnsi="宋体" w:cs="宋体"/>
          <w:b/>
          <w:color w:val="auto"/>
          <w:kern w:val="0"/>
          <w:sz w:val="28"/>
          <w:szCs w:val="28"/>
          <w:lang w:val="en-US" w:eastAsia="zh-CN"/>
        </w:rPr>
        <w:t xml:space="preserve">  </w:t>
      </w:r>
      <w:r>
        <w:rPr>
          <w:rFonts w:hint="eastAsia" w:ascii="宋体"/>
          <w:color w:val="auto"/>
          <w:sz w:val="24"/>
        </w:rPr>
        <w:t>凡发现申请者存在学术不端、弄虚作假</w:t>
      </w:r>
      <w:r>
        <w:rPr>
          <w:rFonts w:hint="eastAsia" w:ascii="宋体"/>
          <w:color w:val="auto"/>
          <w:sz w:val="24"/>
          <w:lang w:eastAsia="zh-CN"/>
        </w:rPr>
        <w:t>、</w:t>
      </w:r>
      <w:r>
        <w:rPr>
          <w:rFonts w:hint="eastAsia" w:ascii="宋体"/>
          <w:color w:val="auto"/>
          <w:sz w:val="24"/>
          <w:lang w:val="en-US" w:eastAsia="zh-CN"/>
        </w:rPr>
        <w:t>重复申报</w:t>
      </w:r>
      <w:r>
        <w:rPr>
          <w:rFonts w:hint="eastAsia" w:ascii="宋体"/>
          <w:color w:val="auto"/>
          <w:sz w:val="24"/>
        </w:rPr>
        <w:t>等违纪违规行为，经查证属实撤销其研究生奖学金资格并给予相应的纪律处分，如已获相应奖金及证书由学院负责追回。</w:t>
      </w:r>
    </w:p>
    <w:p w14:paraId="3206A531">
      <w:pPr>
        <w:spacing w:line="360" w:lineRule="auto"/>
        <w:ind w:firstLine="562" w:firstLineChars="200"/>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第八章  附则</w:t>
      </w:r>
    </w:p>
    <w:p w14:paraId="0CA4461B">
      <w:pPr>
        <w:spacing w:line="360" w:lineRule="auto"/>
        <w:ind w:firstLine="562" w:firstLineChars="200"/>
        <w:rPr>
          <w:rFonts w:ascii="宋体"/>
          <w:color w:val="auto"/>
          <w:sz w:val="24"/>
        </w:rPr>
      </w:pPr>
      <w:r>
        <w:rPr>
          <w:rFonts w:hint="eastAsia" w:ascii="宋体" w:hAnsi="宋体" w:cs="宋体"/>
          <w:b/>
          <w:color w:val="auto"/>
          <w:kern w:val="0"/>
          <w:sz w:val="28"/>
          <w:szCs w:val="28"/>
        </w:rPr>
        <w:t>第</w:t>
      </w:r>
      <w:r>
        <w:rPr>
          <w:rFonts w:hint="eastAsia" w:ascii="宋体" w:hAnsi="宋体" w:cs="宋体"/>
          <w:b/>
          <w:color w:val="auto"/>
          <w:kern w:val="0"/>
          <w:sz w:val="28"/>
          <w:szCs w:val="28"/>
          <w:lang w:val="en-US" w:eastAsia="zh-CN"/>
        </w:rPr>
        <w:t>二十三</w:t>
      </w:r>
      <w:r>
        <w:rPr>
          <w:rFonts w:hint="eastAsia" w:ascii="宋体" w:hAnsi="宋体" w:cs="宋体"/>
          <w:b/>
          <w:color w:val="auto"/>
          <w:kern w:val="0"/>
          <w:sz w:val="28"/>
          <w:szCs w:val="28"/>
        </w:rPr>
        <w:t>条</w:t>
      </w:r>
      <w:r>
        <w:rPr>
          <w:rFonts w:hint="eastAsia" w:ascii="宋体"/>
          <w:color w:val="auto"/>
          <w:sz w:val="24"/>
        </w:rPr>
        <w:t xml:space="preserve">  本细则未尽事宜由学院研究生奖助学金评审委员会负责解释。</w:t>
      </w:r>
    </w:p>
    <w:p w14:paraId="7148BFCF">
      <w:pPr>
        <w:spacing w:line="360" w:lineRule="auto"/>
        <w:ind w:firstLine="562" w:firstLineChars="200"/>
        <w:rPr>
          <w:rFonts w:hint="eastAsia" w:ascii="宋体"/>
          <w:color w:val="auto"/>
          <w:sz w:val="24"/>
        </w:rPr>
      </w:pPr>
      <w:r>
        <w:rPr>
          <w:rFonts w:hint="eastAsia" w:ascii="宋体" w:hAnsi="宋体" w:cs="宋体"/>
          <w:b/>
          <w:color w:val="auto"/>
          <w:kern w:val="0"/>
          <w:sz w:val="28"/>
          <w:szCs w:val="28"/>
        </w:rPr>
        <w:t>第</w:t>
      </w:r>
      <w:r>
        <w:rPr>
          <w:rFonts w:hint="eastAsia" w:ascii="宋体" w:hAnsi="宋体" w:cs="宋体"/>
          <w:b/>
          <w:color w:val="auto"/>
          <w:kern w:val="0"/>
          <w:sz w:val="28"/>
          <w:szCs w:val="28"/>
          <w:lang w:val="en-US" w:eastAsia="zh-CN"/>
        </w:rPr>
        <w:t>二十四</w:t>
      </w:r>
      <w:r>
        <w:rPr>
          <w:rFonts w:hint="eastAsia" w:ascii="宋体" w:hAnsi="宋体" w:cs="宋体"/>
          <w:b/>
          <w:color w:val="auto"/>
          <w:kern w:val="0"/>
          <w:sz w:val="28"/>
          <w:szCs w:val="28"/>
        </w:rPr>
        <w:t>条</w:t>
      </w:r>
      <w:r>
        <w:rPr>
          <w:rFonts w:hint="eastAsia" w:ascii="宋体"/>
          <w:b/>
          <w:color w:val="auto"/>
          <w:sz w:val="24"/>
        </w:rPr>
        <w:t xml:space="preserve">  </w:t>
      </w:r>
      <w:r>
        <w:rPr>
          <w:rFonts w:hint="eastAsia" w:ascii="宋体"/>
          <w:color w:val="auto"/>
          <w:sz w:val="24"/>
        </w:rPr>
        <w:t>本办法自发文之日起，面向2025级研究生开始执行。</w:t>
      </w:r>
    </w:p>
    <w:p w14:paraId="2107CBD9">
      <w:pPr>
        <w:spacing w:line="360" w:lineRule="auto"/>
        <w:ind w:firstLine="562" w:firstLineChars="200"/>
        <w:rPr>
          <w:rFonts w:hint="default" w:ascii="宋体" w:eastAsia="宋体"/>
          <w:color w:val="auto"/>
          <w:sz w:val="24"/>
          <w:lang w:val="en-US" w:eastAsia="zh-CN"/>
        </w:rPr>
      </w:pPr>
      <w:r>
        <w:rPr>
          <w:rFonts w:hint="eastAsia" w:ascii="宋体" w:hAnsi="宋体" w:cs="宋体"/>
          <w:b/>
          <w:color w:val="auto"/>
          <w:kern w:val="0"/>
          <w:sz w:val="28"/>
          <w:szCs w:val="28"/>
          <w:lang w:val="en-US" w:eastAsia="zh-CN"/>
        </w:rPr>
        <w:t>第二十五条</w:t>
      </w:r>
      <w:r>
        <w:rPr>
          <w:rFonts w:hint="eastAsia" w:ascii="宋体"/>
          <w:color w:val="auto"/>
          <w:sz w:val="24"/>
          <w:lang w:val="en-US" w:eastAsia="zh-CN"/>
        </w:rPr>
        <w:t xml:space="preserve">  2022级、2023级和2024级研究生按照《西北师范大学教育科学学院、教师教育学院2025年研究生奖学金评审细则（修订）》执行，至2024级研究生毕业后废止。</w:t>
      </w:r>
    </w:p>
    <w:p w14:paraId="5B1C8D8C">
      <w:pPr>
        <w:spacing w:line="360" w:lineRule="auto"/>
        <w:ind w:firstLine="5280" w:firstLineChars="2200"/>
        <w:jc w:val="right"/>
        <w:rPr>
          <w:rFonts w:ascii="宋体"/>
          <w:color w:val="auto"/>
          <w:sz w:val="24"/>
        </w:rPr>
      </w:pPr>
      <w:r>
        <w:rPr>
          <w:rFonts w:hint="eastAsia" w:ascii="宋体"/>
          <w:color w:val="auto"/>
          <w:sz w:val="24"/>
        </w:rPr>
        <w:t>教育科学学院</w:t>
      </w:r>
      <w:r>
        <w:rPr>
          <w:rFonts w:hint="eastAsia" w:ascii="宋体"/>
          <w:color w:val="auto"/>
          <w:sz w:val="24"/>
          <w:lang w:val="en-US" w:eastAsia="zh-CN"/>
        </w:rPr>
        <w:t xml:space="preserve"> </w:t>
      </w:r>
      <w:r>
        <w:rPr>
          <w:rFonts w:hint="eastAsia" w:ascii="宋体"/>
          <w:color w:val="auto"/>
          <w:sz w:val="24"/>
        </w:rPr>
        <w:t>教师教育学院</w:t>
      </w:r>
    </w:p>
    <w:p w14:paraId="6B7B06A0">
      <w:pPr>
        <w:spacing w:line="360" w:lineRule="auto"/>
        <w:ind w:firstLine="5880" w:firstLineChars="2450"/>
        <w:rPr>
          <w:rFonts w:ascii="宋体"/>
          <w:color w:val="auto"/>
          <w:sz w:val="24"/>
        </w:rPr>
      </w:pPr>
      <w:r>
        <w:rPr>
          <w:rFonts w:hint="eastAsia" w:ascii="宋体"/>
          <w:color w:val="auto"/>
          <w:sz w:val="24"/>
        </w:rPr>
        <w:t>202</w:t>
      </w:r>
      <w:r>
        <w:rPr>
          <w:rFonts w:hint="eastAsia" w:ascii="宋体"/>
          <w:color w:val="auto"/>
          <w:sz w:val="24"/>
          <w:lang w:val="en-US" w:eastAsia="zh-CN"/>
        </w:rPr>
        <w:t>5</w:t>
      </w:r>
      <w:r>
        <w:rPr>
          <w:rFonts w:hint="eastAsia" w:ascii="宋体"/>
          <w:color w:val="auto"/>
          <w:sz w:val="24"/>
        </w:rPr>
        <w:t>年</w:t>
      </w:r>
      <w:r>
        <w:rPr>
          <w:rFonts w:hint="eastAsia" w:ascii="宋体"/>
          <w:color w:val="auto"/>
          <w:sz w:val="24"/>
          <w:lang w:val="en-US" w:eastAsia="zh-CN"/>
        </w:rPr>
        <w:t>7</w:t>
      </w:r>
      <w:r>
        <w:rPr>
          <w:rFonts w:hint="eastAsia" w:ascii="宋体"/>
          <w:color w:val="auto"/>
          <w:sz w:val="24"/>
        </w:rPr>
        <w:t>月2日</w:t>
      </w:r>
    </w:p>
    <w:sectPr>
      <w:headerReference r:id="rId3" w:type="default"/>
      <w:footerReference r:id="rId4" w:type="default"/>
      <w:pgSz w:w="11906" w:h="16838"/>
      <w:pgMar w:top="1440" w:right="1800" w:bottom="1440" w:left="180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8615">
    <w:pPr>
      <w:pStyle w:val="3"/>
      <w:jc w:val="center"/>
    </w:pPr>
    <w:r>
      <w:fldChar w:fldCharType="begin"/>
    </w:r>
    <w:r>
      <w:instrText xml:space="preserve">PAGE   \* MERGEFORMAT</w:instrText>
    </w:r>
    <w:r>
      <w:fldChar w:fldCharType="separate"/>
    </w:r>
    <w:r>
      <w:rPr>
        <w:lang w:val="zh-CN"/>
      </w:rPr>
      <w:t>5</w:t>
    </w:r>
    <w:r>
      <w:fldChar w:fldCharType="end"/>
    </w:r>
  </w:p>
  <w:p w14:paraId="32279CF2">
    <w:pPr>
      <w:pStyle w:val="3"/>
    </w:pPr>
  </w:p>
  <w:p w14:paraId="279893B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98B7F">
    <w:pPr>
      <w:pStyle w:val="4"/>
      <w:pBdr>
        <w:bottom w:val="none" w:color="auto" w:sz="0" w:space="0"/>
      </w:pBdr>
    </w:pPr>
  </w:p>
  <w:p w14:paraId="3822CE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3FE78"/>
    <w:multiLevelType w:val="singleLevel"/>
    <w:tmpl w:val="0553FE7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mQxNjBlYTI3NDNjM2FlYzNiZDNiMjJiMTgwZTgifQ=="/>
  </w:docVars>
  <w:rsids>
    <w:rsidRoot w:val="31393D3F"/>
    <w:rsid w:val="00015D77"/>
    <w:rsid w:val="00101C3F"/>
    <w:rsid w:val="001B442B"/>
    <w:rsid w:val="00290F61"/>
    <w:rsid w:val="00454322"/>
    <w:rsid w:val="00481283"/>
    <w:rsid w:val="004874D5"/>
    <w:rsid w:val="004B3AA4"/>
    <w:rsid w:val="0052374D"/>
    <w:rsid w:val="005A7208"/>
    <w:rsid w:val="005C174C"/>
    <w:rsid w:val="00627E6B"/>
    <w:rsid w:val="00664493"/>
    <w:rsid w:val="00703E4F"/>
    <w:rsid w:val="007A1811"/>
    <w:rsid w:val="007A51B4"/>
    <w:rsid w:val="007D3511"/>
    <w:rsid w:val="00825A43"/>
    <w:rsid w:val="00911966"/>
    <w:rsid w:val="00967AE9"/>
    <w:rsid w:val="00992FEF"/>
    <w:rsid w:val="00A152C1"/>
    <w:rsid w:val="00A8576E"/>
    <w:rsid w:val="00CA78DB"/>
    <w:rsid w:val="00CB05AC"/>
    <w:rsid w:val="00E23A90"/>
    <w:rsid w:val="01910059"/>
    <w:rsid w:val="01962088"/>
    <w:rsid w:val="01B85F94"/>
    <w:rsid w:val="01C42D71"/>
    <w:rsid w:val="02005647"/>
    <w:rsid w:val="021D04ED"/>
    <w:rsid w:val="0237595A"/>
    <w:rsid w:val="02385327"/>
    <w:rsid w:val="029167E5"/>
    <w:rsid w:val="02AE55E9"/>
    <w:rsid w:val="02B074AC"/>
    <w:rsid w:val="02BE582C"/>
    <w:rsid w:val="02F920DE"/>
    <w:rsid w:val="031713E0"/>
    <w:rsid w:val="03237D85"/>
    <w:rsid w:val="03604B36"/>
    <w:rsid w:val="036208AE"/>
    <w:rsid w:val="03AC7D7B"/>
    <w:rsid w:val="03C823F0"/>
    <w:rsid w:val="03D376D6"/>
    <w:rsid w:val="04142AF7"/>
    <w:rsid w:val="042042C5"/>
    <w:rsid w:val="04397422"/>
    <w:rsid w:val="04446205"/>
    <w:rsid w:val="046B19E4"/>
    <w:rsid w:val="049D5915"/>
    <w:rsid w:val="04A22F2C"/>
    <w:rsid w:val="04D54C5B"/>
    <w:rsid w:val="051F632A"/>
    <w:rsid w:val="057A5D7E"/>
    <w:rsid w:val="05832D5D"/>
    <w:rsid w:val="05B80C59"/>
    <w:rsid w:val="05B922DB"/>
    <w:rsid w:val="05BA6CD5"/>
    <w:rsid w:val="05BD626F"/>
    <w:rsid w:val="05CA098C"/>
    <w:rsid w:val="05E05ABA"/>
    <w:rsid w:val="05F872A7"/>
    <w:rsid w:val="0620235A"/>
    <w:rsid w:val="062A4F87"/>
    <w:rsid w:val="06431E80"/>
    <w:rsid w:val="06A42F8B"/>
    <w:rsid w:val="06A905C3"/>
    <w:rsid w:val="06EC048E"/>
    <w:rsid w:val="06F0266E"/>
    <w:rsid w:val="06F35CC1"/>
    <w:rsid w:val="07035F04"/>
    <w:rsid w:val="072D2F81"/>
    <w:rsid w:val="074D3623"/>
    <w:rsid w:val="0777244E"/>
    <w:rsid w:val="077A1F3E"/>
    <w:rsid w:val="079341B9"/>
    <w:rsid w:val="07996868"/>
    <w:rsid w:val="07C84A57"/>
    <w:rsid w:val="07CA6A21"/>
    <w:rsid w:val="07D17DB0"/>
    <w:rsid w:val="08274BAD"/>
    <w:rsid w:val="082C148A"/>
    <w:rsid w:val="08393BA7"/>
    <w:rsid w:val="08493DEA"/>
    <w:rsid w:val="085B3B1D"/>
    <w:rsid w:val="0865674A"/>
    <w:rsid w:val="08964B56"/>
    <w:rsid w:val="08AF79C5"/>
    <w:rsid w:val="08B5322E"/>
    <w:rsid w:val="08D34C8C"/>
    <w:rsid w:val="09102B5A"/>
    <w:rsid w:val="09581E0B"/>
    <w:rsid w:val="09A137B2"/>
    <w:rsid w:val="09B02943"/>
    <w:rsid w:val="0A337B3E"/>
    <w:rsid w:val="0A7B04A7"/>
    <w:rsid w:val="0A7B4003"/>
    <w:rsid w:val="0A9652E1"/>
    <w:rsid w:val="0ACE3FA1"/>
    <w:rsid w:val="0AFF69E2"/>
    <w:rsid w:val="0B057D70"/>
    <w:rsid w:val="0B36617C"/>
    <w:rsid w:val="0B420FC5"/>
    <w:rsid w:val="0B9335CE"/>
    <w:rsid w:val="0BA15CEB"/>
    <w:rsid w:val="0BA24710"/>
    <w:rsid w:val="0BCA5413"/>
    <w:rsid w:val="0C0C378C"/>
    <w:rsid w:val="0C707344"/>
    <w:rsid w:val="0C9770F5"/>
    <w:rsid w:val="0CAA0BCF"/>
    <w:rsid w:val="0CAF4438"/>
    <w:rsid w:val="0D6E42F3"/>
    <w:rsid w:val="0D9A0C44"/>
    <w:rsid w:val="0DA6583B"/>
    <w:rsid w:val="0DD46327"/>
    <w:rsid w:val="0DF30354"/>
    <w:rsid w:val="0E2A646C"/>
    <w:rsid w:val="0E3E5A73"/>
    <w:rsid w:val="0E4D5CB6"/>
    <w:rsid w:val="0E5434E9"/>
    <w:rsid w:val="0E5E1C72"/>
    <w:rsid w:val="0ED87C76"/>
    <w:rsid w:val="0EE7610B"/>
    <w:rsid w:val="0EF40828"/>
    <w:rsid w:val="0EF56BA2"/>
    <w:rsid w:val="0F05406A"/>
    <w:rsid w:val="0F296723"/>
    <w:rsid w:val="0F3A26DF"/>
    <w:rsid w:val="0F59068B"/>
    <w:rsid w:val="0F621C35"/>
    <w:rsid w:val="0FA933C0"/>
    <w:rsid w:val="0FBF71DA"/>
    <w:rsid w:val="0FFE370C"/>
    <w:rsid w:val="10152804"/>
    <w:rsid w:val="10172A20"/>
    <w:rsid w:val="10210B36"/>
    <w:rsid w:val="10757746"/>
    <w:rsid w:val="107E65FB"/>
    <w:rsid w:val="10917F73"/>
    <w:rsid w:val="10993435"/>
    <w:rsid w:val="109E6C9D"/>
    <w:rsid w:val="10A73DA4"/>
    <w:rsid w:val="10E741A0"/>
    <w:rsid w:val="10F22B45"/>
    <w:rsid w:val="114C66F9"/>
    <w:rsid w:val="115F467E"/>
    <w:rsid w:val="118E286E"/>
    <w:rsid w:val="11A52271"/>
    <w:rsid w:val="11DB3181"/>
    <w:rsid w:val="11E15093"/>
    <w:rsid w:val="11F07FC5"/>
    <w:rsid w:val="120B2110"/>
    <w:rsid w:val="12647A72"/>
    <w:rsid w:val="12FB03D7"/>
    <w:rsid w:val="12FE7EC7"/>
    <w:rsid w:val="130A23C8"/>
    <w:rsid w:val="131C20FB"/>
    <w:rsid w:val="13201BEB"/>
    <w:rsid w:val="132E255A"/>
    <w:rsid w:val="13645F7C"/>
    <w:rsid w:val="13A75E69"/>
    <w:rsid w:val="13D44784"/>
    <w:rsid w:val="13DF1AA7"/>
    <w:rsid w:val="14103A0E"/>
    <w:rsid w:val="14373691"/>
    <w:rsid w:val="14432B33"/>
    <w:rsid w:val="146B333A"/>
    <w:rsid w:val="146E6986"/>
    <w:rsid w:val="14860174"/>
    <w:rsid w:val="14CA62B3"/>
    <w:rsid w:val="150A2B53"/>
    <w:rsid w:val="151D2886"/>
    <w:rsid w:val="15393438"/>
    <w:rsid w:val="156C7521"/>
    <w:rsid w:val="163F05DA"/>
    <w:rsid w:val="165027E8"/>
    <w:rsid w:val="16556050"/>
    <w:rsid w:val="16884B88"/>
    <w:rsid w:val="16893F4C"/>
    <w:rsid w:val="16964B6B"/>
    <w:rsid w:val="16985257"/>
    <w:rsid w:val="16C15493"/>
    <w:rsid w:val="170F26A3"/>
    <w:rsid w:val="17367C2F"/>
    <w:rsid w:val="17887D5F"/>
    <w:rsid w:val="178D5376"/>
    <w:rsid w:val="1799211A"/>
    <w:rsid w:val="17B62B1E"/>
    <w:rsid w:val="17CE60BA"/>
    <w:rsid w:val="17FE54B8"/>
    <w:rsid w:val="18286288"/>
    <w:rsid w:val="18464462"/>
    <w:rsid w:val="186407CC"/>
    <w:rsid w:val="187622AE"/>
    <w:rsid w:val="18FF04F5"/>
    <w:rsid w:val="19202945"/>
    <w:rsid w:val="19397563"/>
    <w:rsid w:val="195A572B"/>
    <w:rsid w:val="195E6FCA"/>
    <w:rsid w:val="199155F1"/>
    <w:rsid w:val="19946E8F"/>
    <w:rsid w:val="19C84D8B"/>
    <w:rsid w:val="19CF6119"/>
    <w:rsid w:val="19F864EF"/>
    <w:rsid w:val="1A0E6C42"/>
    <w:rsid w:val="1A1324AA"/>
    <w:rsid w:val="1A3333BB"/>
    <w:rsid w:val="1A587EBD"/>
    <w:rsid w:val="1AE264BD"/>
    <w:rsid w:val="1B5A7C65"/>
    <w:rsid w:val="1B5E59A7"/>
    <w:rsid w:val="1B666609"/>
    <w:rsid w:val="1B8A054A"/>
    <w:rsid w:val="1BA01B1B"/>
    <w:rsid w:val="1BC03F6C"/>
    <w:rsid w:val="1BEA723A"/>
    <w:rsid w:val="1BFB31F6"/>
    <w:rsid w:val="1C163B8C"/>
    <w:rsid w:val="1C220782"/>
    <w:rsid w:val="1C22435D"/>
    <w:rsid w:val="1C406E5A"/>
    <w:rsid w:val="1C6E1C1A"/>
    <w:rsid w:val="1C8E406A"/>
    <w:rsid w:val="1C91454C"/>
    <w:rsid w:val="1CBC0BD7"/>
    <w:rsid w:val="1CC01D49"/>
    <w:rsid w:val="1CE1063D"/>
    <w:rsid w:val="1CFA16FF"/>
    <w:rsid w:val="1CFC5477"/>
    <w:rsid w:val="1D083E1C"/>
    <w:rsid w:val="1D903E12"/>
    <w:rsid w:val="1D9779A5"/>
    <w:rsid w:val="1D9F5E03"/>
    <w:rsid w:val="1DAC0C4B"/>
    <w:rsid w:val="1DDE2DCF"/>
    <w:rsid w:val="1DF1580A"/>
    <w:rsid w:val="1DF42C49"/>
    <w:rsid w:val="1DF659BB"/>
    <w:rsid w:val="1E65734E"/>
    <w:rsid w:val="1E711EC4"/>
    <w:rsid w:val="1E7948A6"/>
    <w:rsid w:val="1E7B6870"/>
    <w:rsid w:val="1E845724"/>
    <w:rsid w:val="1EB12291"/>
    <w:rsid w:val="1ED33FB6"/>
    <w:rsid w:val="1ED55F80"/>
    <w:rsid w:val="1EED0876"/>
    <w:rsid w:val="1F5E021B"/>
    <w:rsid w:val="1FEA7809"/>
    <w:rsid w:val="1FF64400"/>
    <w:rsid w:val="200D44E7"/>
    <w:rsid w:val="20390790"/>
    <w:rsid w:val="204809D3"/>
    <w:rsid w:val="207812B9"/>
    <w:rsid w:val="20A21E92"/>
    <w:rsid w:val="20B56069"/>
    <w:rsid w:val="20EC135F"/>
    <w:rsid w:val="20EE3329"/>
    <w:rsid w:val="21703D3E"/>
    <w:rsid w:val="21723F5A"/>
    <w:rsid w:val="217750CC"/>
    <w:rsid w:val="219D08AB"/>
    <w:rsid w:val="21EF7359"/>
    <w:rsid w:val="22295FF0"/>
    <w:rsid w:val="22364F87"/>
    <w:rsid w:val="223C6316"/>
    <w:rsid w:val="228F5D58"/>
    <w:rsid w:val="229B4DEB"/>
    <w:rsid w:val="22B93474"/>
    <w:rsid w:val="22C70A17"/>
    <w:rsid w:val="22CF0F38"/>
    <w:rsid w:val="23333275"/>
    <w:rsid w:val="23C95987"/>
    <w:rsid w:val="23EF4935"/>
    <w:rsid w:val="241F37F9"/>
    <w:rsid w:val="24217571"/>
    <w:rsid w:val="2423544D"/>
    <w:rsid w:val="246F652F"/>
    <w:rsid w:val="248F18B2"/>
    <w:rsid w:val="24EC4023"/>
    <w:rsid w:val="24FD638C"/>
    <w:rsid w:val="251D242F"/>
    <w:rsid w:val="25205589"/>
    <w:rsid w:val="254774AC"/>
    <w:rsid w:val="25512734"/>
    <w:rsid w:val="25A14E0E"/>
    <w:rsid w:val="25AB145B"/>
    <w:rsid w:val="25EB42DB"/>
    <w:rsid w:val="2604714B"/>
    <w:rsid w:val="26C10E74"/>
    <w:rsid w:val="26D7660D"/>
    <w:rsid w:val="26F62F37"/>
    <w:rsid w:val="270513CC"/>
    <w:rsid w:val="272730F1"/>
    <w:rsid w:val="27313F6F"/>
    <w:rsid w:val="275D4D64"/>
    <w:rsid w:val="27640E3A"/>
    <w:rsid w:val="277D71B5"/>
    <w:rsid w:val="2790513A"/>
    <w:rsid w:val="27A209C9"/>
    <w:rsid w:val="27B30E28"/>
    <w:rsid w:val="27C13545"/>
    <w:rsid w:val="27DA63B5"/>
    <w:rsid w:val="27DB3589"/>
    <w:rsid w:val="284657F9"/>
    <w:rsid w:val="28485A15"/>
    <w:rsid w:val="2849353B"/>
    <w:rsid w:val="284D302B"/>
    <w:rsid w:val="288E3762"/>
    <w:rsid w:val="28BD5168"/>
    <w:rsid w:val="28CD1A76"/>
    <w:rsid w:val="29231FDE"/>
    <w:rsid w:val="29656152"/>
    <w:rsid w:val="29707F5B"/>
    <w:rsid w:val="297E036A"/>
    <w:rsid w:val="298C36DF"/>
    <w:rsid w:val="29F01EC0"/>
    <w:rsid w:val="2A0D0CC4"/>
    <w:rsid w:val="2A495A74"/>
    <w:rsid w:val="2A6603D4"/>
    <w:rsid w:val="2A870472"/>
    <w:rsid w:val="2ABC7FF4"/>
    <w:rsid w:val="2AEB2687"/>
    <w:rsid w:val="2BC730F4"/>
    <w:rsid w:val="2BF437BD"/>
    <w:rsid w:val="2C1D2D14"/>
    <w:rsid w:val="2C264A2D"/>
    <w:rsid w:val="2C363DD6"/>
    <w:rsid w:val="2CA62D0A"/>
    <w:rsid w:val="2CBA67B5"/>
    <w:rsid w:val="2CC15D95"/>
    <w:rsid w:val="2CCD473A"/>
    <w:rsid w:val="2CDC22F2"/>
    <w:rsid w:val="2CF717B7"/>
    <w:rsid w:val="2CF75313"/>
    <w:rsid w:val="2D053ED4"/>
    <w:rsid w:val="2D0D4B37"/>
    <w:rsid w:val="2D3C0A35"/>
    <w:rsid w:val="2D452523"/>
    <w:rsid w:val="2D5524DE"/>
    <w:rsid w:val="2D5717A7"/>
    <w:rsid w:val="2D8079FF"/>
    <w:rsid w:val="2D856DC3"/>
    <w:rsid w:val="2DBC3E98"/>
    <w:rsid w:val="2E52108E"/>
    <w:rsid w:val="2E6E3CFB"/>
    <w:rsid w:val="2E98591F"/>
    <w:rsid w:val="2EA761E1"/>
    <w:rsid w:val="2EED2E72"/>
    <w:rsid w:val="2F20265F"/>
    <w:rsid w:val="2F397E65"/>
    <w:rsid w:val="2F5922B5"/>
    <w:rsid w:val="2F6F7D2B"/>
    <w:rsid w:val="2F9037FD"/>
    <w:rsid w:val="2FE63BE9"/>
    <w:rsid w:val="2FF65D56"/>
    <w:rsid w:val="2FFD5337"/>
    <w:rsid w:val="2FFE2E5D"/>
    <w:rsid w:val="300E0A2A"/>
    <w:rsid w:val="30191A45"/>
    <w:rsid w:val="304271ED"/>
    <w:rsid w:val="305B205D"/>
    <w:rsid w:val="306C3C49"/>
    <w:rsid w:val="308570DA"/>
    <w:rsid w:val="309D2676"/>
    <w:rsid w:val="30AA08EF"/>
    <w:rsid w:val="3135465C"/>
    <w:rsid w:val="31393D3F"/>
    <w:rsid w:val="3152520E"/>
    <w:rsid w:val="315471D8"/>
    <w:rsid w:val="317724D8"/>
    <w:rsid w:val="318D4498"/>
    <w:rsid w:val="31A33CBC"/>
    <w:rsid w:val="31A812D2"/>
    <w:rsid w:val="31DC44DC"/>
    <w:rsid w:val="32607DFF"/>
    <w:rsid w:val="329D4BAF"/>
    <w:rsid w:val="32A233A1"/>
    <w:rsid w:val="32B85545"/>
    <w:rsid w:val="32F56799"/>
    <w:rsid w:val="333F17C2"/>
    <w:rsid w:val="33557238"/>
    <w:rsid w:val="33680D19"/>
    <w:rsid w:val="33E22740"/>
    <w:rsid w:val="33ED56C2"/>
    <w:rsid w:val="344572AC"/>
    <w:rsid w:val="345179FF"/>
    <w:rsid w:val="346C4839"/>
    <w:rsid w:val="34991CDD"/>
    <w:rsid w:val="34C5219B"/>
    <w:rsid w:val="34CB5A03"/>
    <w:rsid w:val="34E95E89"/>
    <w:rsid w:val="3579545F"/>
    <w:rsid w:val="35C10BB4"/>
    <w:rsid w:val="35E6686D"/>
    <w:rsid w:val="361761D0"/>
    <w:rsid w:val="3619163D"/>
    <w:rsid w:val="36286772"/>
    <w:rsid w:val="362F5B1E"/>
    <w:rsid w:val="36611AB0"/>
    <w:rsid w:val="369167D9"/>
    <w:rsid w:val="36CC5A63"/>
    <w:rsid w:val="36E07249"/>
    <w:rsid w:val="36E92171"/>
    <w:rsid w:val="36F17277"/>
    <w:rsid w:val="36F40B16"/>
    <w:rsid w:val="37582091"/>
    <w:rsid w:val="376718FC"/>
    <w:rsid w:val="37A24CCB"/>
    <w:rsid w:val="37DE77FC"/>
    <w:rsid w:val="37EE32C1"/>
    <w:rsid w:val="37F7266B"/>
    <w:rsid w:val="38267884"/>
    <w:rsid w:val="382947EF"/>
    <w:rsid w:val="388163D9"/>
    <w:rsid w:val="38A81BB8"/>
    <w:rsid w:val="38BE13DB"/>
    <w:rsid w:val="38EC3030"/>
    <w:rsid w:val="391A2AB5"/>
    <w:rsid w:val="391B682D"/>
    <w:rsid w:val="3995213C"/>
    <w:rsid w:val="39B2551A"/>
    <w:rsid w:val="39D2513E"/>
    <w:rsid w:val="3A306308"/>
    <w:rsid w:val="3A6F69B0"/>
    <w:rsid w:val="3A7B3A28"/>
    <w:rsid w:val="3AA82343"/>
    <w:rsid w:val="3AD82C28"/>
    <w:rsid w:val="3B0C4680"/>
    <w:rsid w:val="3B172E96"/>
    <w:rsid w:val="3B255741"/>
    <w:rsid w:val="3B60677A"/>
    <w:rsid w:val="3B8C3A12"/>
    <w:rsid w:val="3BD842CA"/>
    <w:rsid w:val="3BE21884"/>
    <w:rsid w:val="3BED44B1"/>
    <w:rsid w:val="3C3E2F5F"/>
    <w:rsid w:val="3C5502A8"/>
    <w:rsid w:val="3CB43221"/>
    <w:rsid w:val="3CCA47F2"/>
    <w:rsid w:val="3CE358B4"/>
    <w:rsid w:val="3D1912D6"/>
    <w:rsid w:val="3D2B26FF"/>
    <w:rsid w:val="3D2E4527"/>
    <w:rsid w:val="3D4D0C83"/>
    <w:rsid w:val="3E0F33CA"/>
    <w:rsid w:val="3E1E4D6A"/>
    <w:rsid w:val="3E7762B4"/>
    <w:rsid w:val="3F1E0E25"/>
    <w:rsid w:val="3F3A2DDA"/>
    <w:rsid w:val="3F650802"/>
    <w:rsid w:val="3F6727CC"/>
    <w:rsid w:val="3F755459"/>
    <w:rsid w:val="3FCF3ECE"/>
    <w:rsid w:val="3FE37447"/>
    <w:rsid w:val="408A7F2A"/>
    <w:rsid w:val="40907B01"/>
    <w:rsid w:val="40955117"/>
    <w:rsid w:val="40A315E2"/>
    <w:rsid w:val="40AB66E9"/>
    <w:rsid w:val="40B530C4"/>
    <w:rsid w:val="40BE4833"/>
    <w:rsid w:val="40D16B7C"/>
    <w:rsid w:val="40D479EE"/>
    <w:rsid w:val="40D519B8"/>
    <w:rsid w:val="40F0772D"/>
    <w:rsid w:val="4105404B"/>
    <w:rsid w:val="410F68C9"/>
    <w:rsid w:val="412D70FE"/>
    <w:rsid w:val="41605725"/>
    <w:rsid w:val="41807B75"/>
    <w:rsid w:val="419F2FC2"/>
    <w:rsid w:val="420A5691"/>
    <w:rsid w:val="42462B6D"/>
    <w:rsid w:val="427F7E2D"/>
    <w:rsid w:val="42EE0B0F"/>
    <w:rsid w:val="43054FA8"/>
    <w:rsid w:val="430A31C2"/>
    <w:rsid w:val="43147BDF"/>
    <w:rsid w:val="4316572A"/>
    <w:rsid w:val="43324E9F"/>
    <w:rsid w:val="43AF029E"/>
    <w:rsid w:val="43E97C54"/>
    <w:rsid w:val="44022AC4"/>
    <w:rsid w:val="44185E43"/>
    <w:rsid w:val="441D78FE"/>
    <w:rsid w:val="44501A81"/>
    <w:rsid w:val="445A2900"/>
    <w:rsid w:val="448E07FB"/>
    <w:rsid w:val="448E4357"/>
    <w:rsid w:val="4496320C"/>
    <w:rsid w:val="44D73F50"/>
    <w:rsid w:val="44E95A32"/>
    <w:rsid w:val="44F52628"/>
    <w:rsid w:val="450665E4"/>
    <w:rsid w:val="450B1E4C"/>
    <w:rsid w:val="45993758"/>
    <w:rsid w:val="459B392A"/>
    <w:rsid w:val="45BC2474"/>
    <w:rsid w:val="463E0FB6"/>
    <w:rsid w:val="46C91677"/>
    <w:rsid w:val="46CB091B"/>
    <w:rsid w:val="46F801AE"/>
    <w:rsid w:val="47044DA5"/>
    <w:rsid w:val="471E613B"/>
    <w:rsid w:val="475039A3"/>
    <w:rsid w:val="47CB3C69"/>
    <w:rsid w:val="47CB7671"/>
    <w:rsid w:val="47D26C51"/>
    <w:rsid w:val="47DD7AD0"/>
    <w:rsid w:val="481B23A6"/>
    <w:rsid w:val="488E0DCA"/>
    <w:rsid w:val="48A57EC2"/>
    <w:rsid w:val="48AA54D8"/>
    <w:rsid w:val="48FA645F"/>
    <w:rsid w:val="49746212"/>
    <w:rsid w:val="4A205A52"/>
    <w:rsid w:val="4A365275"/>
    <w:rsid w:val="4A534079"/>
    <w:rsid w:val="4AA448D5"/>
    <w:rsid w:val="4B133808"/>
    <w:rsid w:val="4B375749"/>
    <w:rsid w:val="4B5C6F5D"/>
    <w:rsid w:val="4B8D35BB"/>
    <w:rsid w:val="4BBA0128"/>
    <w:rsid w:val="4BCE14DD"/>
    <w:rsid w:val="4BDB2578"/>
    <w:rsid w:val="4C207F8B"/>
    <w:rsid w:val="4C3C0B3D"/>
    <w:rsid w:val="4C431ECB"/>
    <w:rsid w:val="4C687B84"/>
    <w:rsid w:val="4CBD1C7E"/>
    <w:rsid w:val="4D0E072B"/>
    <w:rsid w:val="4DB509AB"/>
    <w:rsid w:val="4DEA1F48"/>
    <w:rsid w:val="4DED0341"/>
    <w:rsid w:val="4E2B0E69"/>
    <w:rsid w:val="4E6C6B52"/>
    <w:rsid w:val="4E834801"/>
    <w:rsid w:val="4EA2737D"/>
    <w:rsid w:val="4F02606E"/>
    <w:rsid w:val="4F0B3174"/>
    <w:rsid w:val="4F1D07B2"/>
    <w:rsid w:val="4F29184C"/>
    <w:rsid w:val="4F2F6737"/>
    <w:rsid w:val="4F560168"/>
    <w:rsid w:val="4F8E257B"/>
    <w:rsid w:val="4F950C90"/>
    <w:rsid w:val="4FAF01BA"/>
    <w:rsid w:val="4FB8672C"/>
    <w:rsid w:val="501A2F43"/>
    <w:rsid w:val="501F0559"/>
    <w:rsid w:val="50577CF3"/>
    <w:rsid w:val="506643DA"/>
    <w:rsid w:val="506863A4"/>
    <w:rsid w:val="50744D49"/>
    <w:rsid w:val="50CF0393"/>
    <w:rsid w:val="50E33C7D"/>
    <w:rsid w:val="50EE68AA"/>
    <w:rsid w:val="51837530"/>
    <w:rsid w:val="519A07DF"/>
    <w:rsid w:val="519D207E"/>
    <w:rsid w:val="51AC0513"/>
    <w:rsid w:val="51BC69A8"/>
    <w:rsid w:val="51E47CAD"/>
    <w:rsid w:val="520619D1"/>
    <w:rsid w:val="52304CA0"/>
    <w:rsid w:val="524D13AE"/>
    <w:rsid w:val="526E7576"/>
    <w:rsid w:val="52A869DB"/>
    <w:rsid w:val="52D95337"/>
    <w:rsid w:val="52DF74A0"/>
    <w:rsid w:val="530028C4"/>
    <w:rsid w:val="53057EDB"/>
    <w:rsid w:val="53560736"/>
    <w:rsid w:val="53726E26"/>
    <w:rsid w:val="53BD2563"/>
    <w:rsid w:val="53FB308C"/>
    <w:rsid w:val="545A6004"/>
    <w:rsid w:val="54660E4D"/>
    <w:rsid w:val="54686973"/>
    <w:rsid w:val="5478329A"/>
    <w:rsid w:val="54877D10"/>
    <w:rsid w:val="54AA0D3A"/>
    <w:rsid w:val="54BF40B9"/>
    <w:rsid w:val="54F41FB5"/>
    <w:rsid w:val="55200FFC"/>
    <w:rsid w:val="55236D3E"/>
    <w:rsid w:val="55284354"/>
    <w:rsid w:val="552A1E7A"/>
    <w:rsid w:val="557430F6"/>
    <w:rsid w:val="55790918"/>
    <w:rsid w:val="557D01FC"/>
    <w:rsid w:val="55A57753"/>
    <w:rsid w:val="55E0078B"/>
    <w:rsid w:val="55F304BE"/>
    <w:rsid w:val="561A3C9D"/>
    <w:rsid w:val="561A7EA1"/>
    <w:rsid w:val="56327239"/>
    <w:rsid w:val="567B1032"/>
    <w:rsid w:val="57203535"/>
    <w:rsid w:val="572B3C88"/>
    <w:rsid w:val="572C62CC"/>
    <w:rsid w:val="574D00A2"/>
    <w:rsid w:val="575F33B6"/>
    <w:rsid w:val="577613A7"/>
    <w:rsid w:val="5778511F"/>
    <w:rsid w:val="577852AA"/>
    <w:rsid w:val="583765F2"/>
    <w:rsid w:val="58787758"/>
    <w:rsid w:val="587A0A23"/>
    <w:rsid w:val="587C0C3F"/>
    <w:rsid w:val="58B57CAD"/>
    <w:rsid w:val="58C148A4"/>
    <w:rsid w:val="59515443"/>
    <w:rsid w:val="59831B59"/>
    <w:rsid w:val="59861649"/>
    <w:rsid w:val="599C0E6D"/>
    <w:rsid w:val="59BD150F"/>
    <w:rsid w:val="59C26B25"/>
    <w:rsid w:val="59F42A57"/>
    <w:rsid w:val="5A010E1A"/>
    <w:rsid w:val="5A395F77"/>
    <w:rsid w:val="5A9C7376"/>
    <w:rsid w:val="5AAB1367"/>
    <w:rsid w:val="5AE04A8B"/>
    <w:rsid w:val="5AE41A11"/>
    <w:rsid w:val="5AFE3B8D"/>
    <w:rsid w:val="5B022F52"/>
    <w:rsid w:val="5B0F5D9A"/>
    <w:rsid w:val="5BAA7871"/>
    <w:rsid w:val="5BCA7F13"/>
    <w:rsid w:val="5BF20E9F"/>
    <w:rsid w:val="5C0B037E"/>
    <w:rsid w:val="5C3116CD"/>
    <w:rsid w:val="5C342DDD"/>
    <w:rsid w:val="5C545A2F"/>
    <w:rsid w:val="5C6A10F4"/>
    <w:rsid w:val="5C915036"/>
    <w:rsid w:val="5CA408A7"/>
    <w:rsid w:val="5CB564CD"/>
    <w:rsid w:val="5CDA23D8"/>
    <w:rsid w:val="5D02548B"/>
    <w:rsid w:val="5D0905C7"/>
    <w:rsid w:val="5D192F00"/>
    <w:rsid w:val="5D443CF5"/>
    <w:rsid w:val="5DA12EF6"/>
    <w:rsid w:val="5DDC3F2E"/>
    <w:rsid w:val="5DE057CC"/>
    <w:rsid w:val="5DF41277"/>
    <w:rsid w:val="5E1E264B"/>
    <w:rsid w:val="5E4A70E9"/>
    <w:rsid w:val="5F57386C"/>
    <w:rsid w:val="5F683CCB"/>
    <w:rsid w:val="5F7A39FE"/>
    <w:rsid w:val="5F9F565E"/>
    <w:rsid w:val="5FA3449B"/>
    <w:rsid w:val="5FD44EBD"/>
    <w:rsid w:val="602C4CF9"/>
    <w:rsid w:val="602F2F11"/>
    <w:rsid w:val="603C2614"/>
    <w:rsid w:val="60600E46"/>
    <w:rsid w:val="60771CEC"/>
    <w:rsid w:val="608A5EC3"/>
    <w:rsid w:val="609E54CA"/>
    <w:rsid w:val="60B913DE"/>
    <w:rsid w:val="60DA0BF8"/>
    <w:rsid w:val="60EC26DA"/>
    <w:rsid w:val="60F11A9E"/>
    <w:rsid w:val="6110461A"/>
    <w:rsid w:val="6115578D"/>
    <w:rsid w:val="6126799A"/>
    <w:rsid w:val="613B0F6B"/>
    <w:rsid w:val="61532759"/>
    <w:rsid w:val="615F2EAC"/>
    <w:rsid w:val="6166423A"/>
    <w:rsid w:val="61EB473F"/>
    <w:rsid w:val="61F061FA"/>
    <w:rsid w:val="623936FD"/>
    <w:rsid w:val="624600BB"/>
    <w:rsid w:val="6247406C"/>
    <w:rsid w:val="627209BD"/>
    <w:rsid w:val="629D3C8C"/>
    <w:rsid w:val="62BC7E8A"/>
    <w:rsid w:val="62E53885"/>
    <w:rsid w:val="62E73159"/>
    <w:rsid w:val="631853C6"/>
    <w:rsid w:val="631877B6"/>
    <w:rsid w:val="63251ED3"/>
    <w:rsid w:val="632A1297"/>
    <w:rsid w:val="632E2B36"/>
    <w:rsid w:val="63CF1754"/>
    <w:rsid w:val="641066DF"/>
    <w:rsid w:val="64354398"/>
    <w:rsid w:val="645E569D"/>
    <w:rsid w:val="64EC5D7B"/>
    <w:rsid w:val="64F102BF"/>
    <w:rsid w:val="64F65062"/>
    <w:rsid w:val="654C1999"/>
    <w:rsid w:val="65516FAF"/>
    <w:rsid w:val="65960E66"/>
    <w:rsid w:val="65962C14"/>
    <w:rsid w:val="659F41BF"/>
    <w:rsid w:val="660E4EA0"/>
    <w:rsid w:val="66100C18"/>
    <w:rsid w:val="66967370"/>
    <w:rsid w:val="66D13B2C"/>
    <w:rsid w:val="66DF3FE2"/>
    <w:rsid w:val="670B1620"/>
    <w:rsid w:val="670F2C7E"/>
    <w:rsid w:val="672C7CD4"/>
    <w:rsid w:val="67AC28B8"/>
    <w:rsid w:val="67B11F87"/>
    <w:rsid w:val="67B57CC9"/>
    <w:rsid w:val="67BA708E"/>
    <w:rsid w:val="67FC12C5"/>
    <w:rsid w:val="680B251C"/>
    <w:rsid w:val="68126ECA"/>
    <w:rsid w:val="684A6664"/>
    <w:rsid w:val="684E77D6"/>
    <w:rsid w:val="685805B1"/>
    <w:rsid w:val="68A13BEA"/>
    <w:rsid w:val="68B43ADD"/>
    <w:rsid w:val="68BB05EB"/>
    <w:rsid w:val="690F51B7"/>
    <w:rsid w:val="69183FE9"/>
    <w:rsid w:val="69472BA3"/>
    <w:rsid w:val="69561038"/>
    <w:rsid w:val="6972741B"/>
    <w:rsid w:val="699B6A4B"/>
    <w:rsid w:val="69AF0748"/>
    <w:rsid w:val="69D56401"/>
    <w:rsid w:val="69FC1BE0"/>
    <w:rsid w:val="6A0E1913"/>
    <w:rsid w:val="6A9C2A7B"/>
    <w:rsid w:val="6AA95AB8"/>
    <w:rsid w:val="6B2A452A"/>
    <w:rsid w:val="6B39476E"/>
    <w:rsid w:val="6B8A321B"/>
    <w:rsid w:val="6C465394"/>
    <w:rsid w:val="6CA87DFD"/>
    <w:rsid w:val="6CD653FA"/>
    <w:rsid w:val="6CE10C19"/>
    <w:rsid w:val="6D0D7C60"/>
    <w:rsid w:val="6D25144D"/>
    <w:rsid w:val="6D2D20B0"/>
    <w:rsid w:val="6D4F0278"/>
    <w:rsid w:val="6D5B4E6F"/>
    <w:rsid w:val="6D6D06FE"/>
    <w:rsid w:val="6DBE0F5A"/>
    <w:rsid w:val="6DDB7D5E"/>
    <w:rsid w:val="6E1F7C4B"/>
    <w:rsid w:val="6E2932A7"/>
    <w:rsid w:val="6E405E13"/>
    <w:rsid w:val="6E446FA5"/>
    <w:rsid w:val="6E5F273D"/>
    <w:rsid w:val="6E7E0728"/>
    <w:rsid w:val="6E984C75"/>
    <w:rsid w:val="6F457B85"/>
    <w:rsid w:val="6FA10B33"/>
    <w:rsid w:val="70441BEA"/>
    <w:rsid w:val="708E2E66"/>
    <w:rsid w:val="7090149C"/>
    <w:rsid w:val="70912956"/>
    <w:rsid w:val="70DC1E23"/>
    <w:rsid w:val="70E231B1"/>
    <w:rsid w:val="71190E82"/>
    <w:rsid w:val="713F0604"/>
    <w:rsid w:val="71775FF0"/>
    <w:rsid w:val="71F2242E"/>
    <w:rsid w:val="72001B41"/>
    <w:rsid w:val="723932A5"/>
    <w:rsid w:val="72402885"/>
    <w:rsid w:val="72697ED9"/>
    <w:rsid w:val="726B48F2"/>
    <w:rsid w:val="729606F7"/>
    <w:rsid w:val="729F135A"/>
    <w:rsid w:val="72A526E9"/>
    <w:rsid w:val="72A93ACE"/>
    <w:rsid w:val="72AC7F1B"/>
    <w:rsid w:val="72AE3C93"/>
    <w:rsid w:val="72C95581"/>
    <w:rsid w:val="72EB27F1"/>
    <w:rsid w:val="72F1592E"/>
    <w:rsid w:val="73612AB3"/>
    <w:rsid w:val="73DC038C"/>
    <w:rsid w:val="73E55492"/>
    <w:rsid w:val="73F3514D"/>
    <w:rsid w:val="74177616"/>
    <w:rsid w:val="74730CF0"/>
    <w:rsid w:val="747D13DB"/>
    <w:rsid w:val="74EA4DB5"/>
    <w:rsid w:val="75322959"/>
    <w:rsid w:val="754601B3"/>
    <w:rsid w:val="756D5926"/>
    <w:rsid w:val="758B3E18"/>
    <w:rsid w:val="75CF01A8"/>
    <w:rsid w:val="75ED062E"/>
    <w:rsid w:val="75F419BD"/>
    <w:rsid w:val="760C31AA"/>
    <w:rsid w:val="761C7694"/>
    <w:rsid w:val="76294165"/>
    <w:rsid w:val="76325D56"/>
    <w:rsid w:val="763C3565"/>
    <w:rsid w:val="76784B5F"/>
    <w:rsid w:val="76F908F6"/>
    <w:rsid w:val="77065E4C"/>
    <w:rsid w:val="776204D1"/>
    <w:rsid w:val="776C7C79"/>
    <w:rsid w:val="77885589"/>
    <w:rsid w:val="77AB254F"/>
    <w:rsid w:val="77B54954"/>
    <w:rsid w:val="77BC7F2D"/>
    <w:rsid w:val="77F0110F"/>
    <w:rsid w:val="781C344D"/>
    <w:rsid w:val="78340796"/>
    <w:rsid w:val="78411105"/>
    <w:rsid w:val="78450BF6"/>
    <w:rsid w:val="7860158C"/>
    <w:rsid w:val="786F7A21"/>
    <w:rsid w:val="787E1A12"/>
    <w:rsid w:val="788C05D2"/>
    <w:rsid w:val="78941235"/>
    <w:rsid w:val="789D458E"/>
    <w:rsid w:val="78A23952"/>
    <w:rsid w:val="78C338C8"/>
    <w:rsid w:val="78D36201"/>
    <w:rsid w:val="79312F28"/>
    <w:rsid w:val="7940316B"/>
    <w:rsid w:val="796D13AD"/>
    <w:rsid w:val="797D4C25"/>
    <w:rsid w:val="79BA538D"/>
    <w:rsid w:val="79EF706B"/>
    <w:rsid w:val="79FA5A10"/>
    <w:rsid w:val="79FC3536"/>
    <w:rsid w:val="7A1C14E2"/>
    <w:rsid w:val="7A2B3E1B"/>
    <w:rsid w:val="7AB67B89"/>
    <w:rsid w:val="7ACA7190"/>
    <w:rsid w:val="7ACE4ED2"/>
    <w:rsid w:val="7AF64429"/>
    <w:rsid w:val="7B0C1557"/>
    <w:rsid w:val="7B537186"/>
    <w:rsid w:val="7BA14395"/>
    <w:rsid w:val="7BCA2CE7"/>
    <w:rsid w:val="7C685FE0"/>
    <w:rsid w:val="7C9061B7"/>
    <w:rsid w:val="7D043D18"/>
    <w:rsid w:val="7D11554A"/>
    <w:rsid w:val="7D1B1F25"/>
    <w:rsid w:val="7D4D5E56"/>
    <w:rsid w:val="7D6A6A08"/>
    <w:rsid w:val="7D8C697F"/>
    <w:rsid w:val="7D9046C1"/>
    <w:rsid w:val="7DDD542C"/>
    <w:rsid w:val="7DED1B13"/>
    <w:rsid w:val="7E0D5D12"/>
    <w:rsid w:val="7E154BC6"/>
    <w:rsid w:val="7E4159BB"/>
    <w:rsid w:val="7E5077C0"/>
    <w:rsid w:val="7E715D70"/>
    <w:rsid w:val="7E834226"/>
    <w:rsid w:val="7EAA7A04"/>
    <w:rsid w:val="7F6B423A"/>
    <w:rsid w:val="7F7504F0"/>
    <w:rsid w:val="7FC759BE"/>
    <w:rsid w:val="7FDD7966"/>
    <w:rsid w:val="CA5CF653"/>
    <w:rsid w:val="F7E4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8"/>
      <w:szCs w:val="28"/>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6208</Words>
  <Characters>6456</Characters>
  <Lines>53</Lines>
  <Paragraphs>14</Paragraphs>
  <TotalTime>73</TotalTime>
  <ScaleCrop>false</ScaleCrop>
  <LinksUpToDate>false</LinksUpToDate>
  <CharactersWithSpaces>6544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2022-06-21T14:17:00Z</dcterms:created>
  <dc:creator>落落</dc:creator>
  <cp:lastModifiedBy>Lenovo</cp:lastModifiedBy>
  <cp:lastPrinted>2025-08-30T10:26:00Z</cp:lastPrinted>
  <dcterms:modified xsi:type="dcterms:W3CDTF">2025-08-31T00:21:00Z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480113C6427A44508D961565FEF73416_13</vt:lpwstr>
  </property>
  <property fmtid="{D5CDD505-2E9C-101B-9397-08002B2CF9AE}" pid="4" name="KSOTemplateDocerSaveRecord">
    <vt:lpwstr>eyJoZGlkIjoiN2I2ZGM5Yjc2NThmMGM5Njk2YTgxNTAyMTYyMjhjZGYifQ==</vt:lpwstr>
  </property>
</Properties>
</file>